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2DA" w:rsidRDefault="00EB1446" w:rsidP="008210C1">
      <w:pPr>
        <w:spacing w:line="240" w:lineRule="auto"/>
        <w:jc w:val="center"/>
        <w:rPr>
          <w:rFonts w:ascii="Times New Roman" w:hAnsi="Times New Roman" w:cs="Times New Roman"/>
          <w:b/>
          <w:sz w:val="24"/>
          <w:szCs w:val="24"/>
          <w:lang w:val="en-US"/>
        </w:rPr>
      </w:pPr>
      <w:r w:rsidRPr="008210C1">
        <w:rPr>
          <w:rFonts w:ascii="Times New Roman" w:hAnsi="Times New Roman" w:cs="Times New Roman"/>
          <w:b/>
          <w:sz w:val="24"/>
          <w:szCs w:val="24"/>
          <w:lang w:val="en-US"/>
        </w:rPr>
        <w:t>E</w:t>
      </w:r>
      <w:r w:rsidR="005508CC" w:rsidRPr="008210C1">
        <w:rPr>
          <w:rFonts w:ascii="Times New Roman" w:hAnsi="Times New Roman" w:cs="Times New Roman"/>
          <w:b/>
          <w:sz w:val="24"/>
          <w:szCs w:val="24"/>
          <w:lang w:val="en-US"/>
        </w:rPr>
        <w:t>CONOMIC AND SOCIAL POLICIES INCONSISTENCY, CONVENTION</w:t>
      </w:r>
      <w:r w:rsidR="002E6D91" w:rsidRPr="008210C1">
        <w:rPr>
          <w:rFonts w:ascii="Times New Roman" w:hAnsi="Times New Roman" w:cs="Times New Roman"/>
          <w:b/>
          <w:sz w:val="24"/>
          <w:szCs w:val="24"/>
          <w:lang w:val="en-US"/>
        </w:rPr>
        <w:t>S</w:t>
      </w:r>
      <w:r w:rsidR="005508CC" w:rsidRPr="008210C1">
        <w:rPr>
          <w:rFonts w:ascii="Times New Roman" w:hAnsi="Times New Roman" w:cs="Times New Roman"/>
          <w:b/>
          <w:sz w:val="24"/>
          <w:szCs w:val="24"/>
          <w:lang w:val="en-US"/>
        </w:rPr>
        <w:t xml:space="preserve"> AND CRISIS IN THE BRAZILIAN ECONOMY</w:t>
      </w:r>
      <w:r w:rsidR="00DB34D9" w:rsidRPr="008210C1">
        <w:rPr>
          <w:rFonts w:ascii="Times New Roman" w:hAnsi="Times New Roman" w:cs="Times New Roman"/>
          <w:b/>
          <w:sz w:val="24"/>
          <w:szCs w:val="24"/>
          <w:lang w:val="en-US"/>
        </w:rPr>
        <w:t>, 2011</w:t>
      </w:r>
      <w:r w:rsidR="005508CC" w:rsidRPr="008210C1">
        <w:rPr>
          <w:rFonts w:ascii="Times New Roman" w:hAnsi="Times New Roman" w:cs="Times New Roman"/>
          <w:b/>
          <w:sz w:val="24"/>
          <w:szCs w:val="24"/>
          <w:lang w:val="en-US"/>
        </w:rPr>
        <w:t>-2016</w:t>
      </w:r>
    </w:p>
    <w:p w:rsidR="003B545F" w:rsidRPr="008210C1" w:rsidRDefault="003B545F" w:rsidP="008210C1">
      <w:pPr>
        <w:spacing w:line="240" w:lineRule="auto"/>
        <w:jc w:val="center"/>
        <w:rPr>
          <w:rFonts w:ascii="Times New Roman" w:hAnsi="Times New Roman" w:cs="Times New Roman"/>
          <w:b/>
          <w:sz w:val="24"/>
          <w:szCs w:val="24"/>
          <w:lang w:val="en-US"/>
        </w:rPr>
      </w:pPr>
    </w:p>
    <w:p w:rsidR="005A7033" w:rsidRDefault="005508CC" w:rsidP="00821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pt-BR"/>
        </w:rPr>
      </w:pPr>
      <w:r w:rsidRPr="008210C1">
        <w:rPr>
          <w:rFonts w:ascii="Times New Roman" w:eastAsia="Times New Roman" w:hAnsi="Times New Roman" w:cs="Times New Roman"/>
          <w:b/>
          <w:color w:val="000000"/>
          <w:sz w:val="24"/>
          <w:szCs w:val="24"/>
          <w:lang w:eastAsia="pt-BR"/>
        </w:rPr>
        <w:t xml:space="preserve">Marco Flávio da Cunha Resende Federal </w:t>
      </w:r>
      <w:proofErr w:type="spellStart"/>
      <w:r w:rsidRPr="008210C1">
        <w:rPr>
          <w:rFonts w:ascii="Times New Roman" w:eastAsia="Times New Roman" w:hAnsi="Times New Roman" w:cs="Times New Roman"/>
          <w:b/>
          <w:color w:val="000000"/>
          <w:sz w:val="24"/>
          <w:szCs w:val="24"/>
          <w:lang w:eastAsia="pt-BR"/>
        </w:rPr>
        <w:t>University</w:t>
      </w:r>
      <w:proofErr w:type="spellEnd"/>
      <w:r w:rsidR="00FB7871" w:rsidRPr="008210C1">
        <w:rPr>
          <w:rFonts w:ascii="Times New Roman" w:eastAsia="Times New Roman" w:hAnsi="Times New Roman" w:cs="Times New Roman"/>
          <w:b/>
          <w:color w:val="000000"/>
          <w:sz w:val="24"/>
          <w:szCs w:val="24"/>
          <w:lang w:eastAsia="pt-BR"/>
        </w:rPr>
        <w:t xml:space="preserve"> </w:t>
      </w:r>
      <w:proofErr w:type="spellStart"/>
      <w:r w:rsidRPr="008210C1">
        <w:rPr>
          <w:rFonts w:ascii="Times New Roman" w:eastAsia="Times New Roman" w:hAnsi="Times New Roman" w:cs="Times New Roman"/>
          <w:b/>
          <w:color w:val="000000"/>
          <w:sz w:val="24"/>
          <w:szCs w:val="24"/>
          <w:lang w:eastAsia="pt-BR"/>
        </w:rPr>
        <w:t>of</w:t>
      </w:r>
      <w:proofErr w:type="spellEnd"/>
      <w:r w:rsidRPr="008210C1">
        <w:rPr>
          <w:rFonts w:ascii="Times New Roman" w:eastAsia="Times New Roman" w:hAnsi="Times New Roman" w:cs="Times New Roman"/>
          <w:b/>
          <w:color w:val="000000"/>
          <w:sz w:val="24"/>
          <w:szCs w:val="24"/>
          <w:lang w:eastAsia="pt-BR"/>
        </w:rPr>
        <w:t xml:space="preserve"> Minas Gerais, </w:t>
      </w:r>
      <w:proofErr w:type="spellStart"/>
      <w:r w:rsidRPr="008210C1">
        <w:rPr>
          <w:rFonts w:ascii="Times New Roman" w:eastAsia="Times New Roman" w:hAnsi="Times New Roman" w:cs="Times New Roman"/>
          <w:b/>
          <w:color w:val="000000"/>
          <w:sz w:val="24"/>
          <w:szCs w:val="24"/>
          <w:lang w:eastAsia="pt-BR"/>
        </w:rPr>
        <w:t>Brazil</w:t>
      </w:r>
      <w:proofErr w:type="spellEnd"/>
    </w:p>
    <w:p w:rsidR="005A7033" w:rsidRDefault="005A7033" w:rsidP="00821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pt-BR"/>
        </w:rPr>
      </w:pPr>
    </w:p>
    <w:p w:rsidR="00F27926" w:rsidRDefault="00A17606" w:rsidP="00821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pt-BR"/>
        </w:rPr>
      </w:pPr>
      <w:r w:rsidRPr="008210C1">
        <w:rPr>
          <w:rFonts w:ascii="Times New Roman" w:eastAsia="Times New Roman" w:hAnsi="Times New Roman" w:cs="Times New Roman"/>
          <w:b/>
          <w:color w:val="000000"/>
          <w:sz w:val="24"/>
          <w:szCs w:val="24"/>
          <w:lang w:eastAsia="pt-BR"/>
        </w:rPr>
        <w:t xml:space="preserve">Fábio Henrique </w:t>
      </w:r>
      <w:proofErr w:type="spellStart"/>
      <w:r w:rsidRPr="008210C1">
        <w:rPr>
          <w:rFonts w:ascii="Times New Roman" w:eastAsia="Times New Roman" w:hAnsi="Times New Roman" w:cs="Times New Roman"/>
          <w:b/>
          <w:color w:val="000000"/>
          <w:sz w:val="24"/>
          <w:szCs w:val="24"/>
          <w:lang w:eastAsia="pt-BR"/>
        </w:rPr>
        <w:t>Bittes</w:t>
      </w:r>
      <w:proofErr w:type="spellEnd"/>
      <w:r w:rsidRPr="008210C1">
        <w:rPr>
          <w:rFonts w:ascii="Times New Roman" w:eastAsia="Times New Roman" w:hAnsi="Times New Roman" w:cs="Times New Roman"/>
          <w:b/>
          <w:color w:val="000000"/>
          <w:sz w:val="24"/>
          <w:szCs w:val="24"/>
          <w:lang w:eastAsia="pt-BR"/>
        </w:rPr>
        <w:t xml:space="preserve"> Terra, Fe</w:t>
      </w:r>
      <w:r w:rsidR="003B545F">
        <w:rPr>
          <w:rFonts w:ascii="Times New Roman" w:eastAsia="Times New Roman" w:hAnsi="Times New Roman" w:cs="Times New Roman"/>
          <w:b/>
          <w:color w:val="000000"/>
          <w:sz w:val="24"/>
          <w:szCs w:val="24"/>
          <w:lang w:eastAsia="pt-BR"/>
        </w:rPr>
        <w:t xml:space="preserve">deral </w:t>
      </w:r>
      <w:proofErr w:type="spellStart"/>
      <w:r w:rsidR="003B545F">
        <w:rPr>
          <w:rFonts w:ascii="Times New Roman" w:eastAsia="Times New Roman" w:hAnsi="Times New Roman" w:cs="Times New Roman"/>
          <w:b/>
          <w:color w:val="000000"/>
          <w:sz w:val="24"/>
          <w:szCs w:val="24"/>
          <w:lang w:eastAsia="pt-BR"/>
        </w:rPr>
        <w:t>University</w:t>
      </w:r>
      <w:proofErr w:type="spellEnd"/>
      <w:r w:rsidR="003B545F">
        <w:rPr>
          <w:rFonts w:ascii="Times New Roman" w:eastAsia="Times New Roman" w:hAnsi="Times New Roman" w:cs="Times New Roman"/>
          <w:b/>
          <w:color w:val="000000"/>
          <w:sz w:val="24"/>
          <w:szCs w:val="24"/>
          <w:lang w:eastAsia="pt-BR"/>
        </w:rPr>
        <w:t xml:space="preserve"> </w:t>
      </w:r>
      <w:proofErr w:type="spellStart"/>
      <w:r w:rsidR="003B545F">
        <w:rPr>
          <w:rFonts w:ascii="Times New Roman" w:eastAsia="Times New Roman" w:hAnsi="Times New Roman" w:cs="Times New Roman"/>
          <w:b/>
          <w:color w:val="000000"/>
          <w:sz w:val="24"/>
          <w:szCs w:val="24"/>
          <w:lang w:eastAsia="pt-BR"/>
        </w:rPr>
        <w:t>of</w:t>
      </w:r>
      <w:proofErr w:type="spellEnd"/>
      <w:r w:rsidR="003B545F">
        <w:rPr>
          <w:rFonts w:ascii="Times New Roman" w:eastAsia="Times New Roman" w:hAnsi="Times New Roman" w:cs="Times New Roman"/>
          <w:b/>
          <w:color w:val="000000"/>
          <w:sz w:val="24"/>
          <w:szCs w:val="24"/>
          <w:lang w:eastAsia="pt-BR"/>
        </w:rPr>
        <w:t xml:space="preserve"> ABC, </w:t>
      </w:r>
      <w:proofErr w:type="spellStart"/>
      <w:r w:rsidR="003B545F">
        <w:rPr>
          <w:rFonts w:ascii="Times New Roman" w:eastAsia="Times New Roman" w:hAnsi="Times New Roman" w:cs="Times New Roman"/>
          <w:b/>
          <w:color w:val="000000"/>
          <w:sz w:val="24"/>
          <w:szCs w:val="24"/>
          <w:lang w:eastAsia="pt-BR"/>
        </w:rPr>
        <w:t>Brazil</w:t>
      </w:r>
      <w:proofErr w:type="spellEnd"/>
    </w:p>
    <w:p w:rsidR="003B545F" w:rsidRDefault="003B545F" w:rsidP="00821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pt-BR"/>
        </w:rPr>
      </w:pPr>
    </w:p>
    <w:p w:rsidR="003B545F" w:rsidRDefault="003B545F" w:rsidP="00821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pt-BR"/>
        </w:rPr>
      </w:pPr>
    </w:p>
    <w:p w:rsidR="00B4077D" w:rsidRDefault="00B4077D" w:rsidP="00436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pt-BR"/>
        </w:rPr>
      </w:pPr>
    </w:p>
    <w:p w:rsidR="003B545F" w:rsidRDefault="003B545F" w:rsidP="00436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Resumo</w:t>
      </w:r>
    </w:p>
    <w:p w:rsidR="0043680A" w:rsidRDefault="0043680A" w:rsidP="00436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pt-BR"/>
        </w:rPr>
      </w:pPr>
      <w:r w:rsidRPr="0043680A">
        <w:rPr>
          <w:rFonts w:ascii="Times New Roman" w:eastAsia="Times New Roman" w:hAnsi="Times New Roman" w:cs="Times New Roman"/>
          <w:color w:val="000000"/>
          <w:sz w:val="24"/>
          <w:szCs w:val="24"/>
          <w:lang w:eastAsia="pt-BR"/>
        </w:rPr>
        <w:t xml:space="preserve">Nos períodos 2004-2008 e 2009-2014 </w:t>
      </w:r>
      <w:r>
        <w:rPr>
          <w:rFonts w:ascii="Times New Roman" w:eastAsia="Times New Roman" w:hAnsi="Times New Roman" w:cs="Times New Roman"/>
          <w:color w:val="000000"/>
          <w:sz w:val="24"/>
          <w:szCs w:val="24"/>
          <w:lang w:eastAsia="pt-BR"/>
        </w:rPr>
        <w:t>a economia brasileira cresceu a uma taxa média anual de 4,8% e 2,7%, respectivamente. Após 2014, porém, ela entrou em profunda depressão, com taxas de crescimento de -3,8% em 2015 e -3,6% em 2016. O objetivo deste artigo é analisar as causas da crise brasileira, tendo como base a abordagem Pós-Keynesiana e o foco em dois pontos, a saber, (i) a inconsistência entre as políticas sociais e macroeconômicas, em particular a política cambial, adotadas entre 2003 e 2014;</w:t>
      </w:r>
      <w:r w:rsidR="00E8788B">
        <w:rPr>
          <w:rFonts w:ascii="Times New Roman" w:eastAsia="Times New Roman" w:hAnsi="Times New Roman" w:cs="Times New Roman"/>
          <w:color w:val="000000"/>
          <w:sz w:val="24"/>
          <w:szCs w:val="24"/>
          <w:lang w:eastAsia="pt-BR"/>
        </w:rPr>
        <w:t xml:space="preserve"> e,</w:t>
      </w:r>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ii</w:t>
      </w:r>
      <w:proofErr w:type="spellEnd"/>
      <w:r>
        <w:rPr>
          <w:rFonts w:ascii="Times New Roman" w:eastAsia="Times New Roman" w:hAnsi="Times New Roman" w:cs="Times New Roman"/>
          <w:color w:val="000000"/>
          <w:sz w:val="24"/>
          <w:szCs w:val="24"/>
          <w:lang w:eastAsia="pt-BR"/>
        </w:rPr>
        <w:t xml:space="preserve">) </w:t>
      </w:r>
      <w:r w:rsidR="00E8788B">
        <w:rPr>
          <w:rFonts w:ascii="Times New Roman" w:eastAsia="Times New Roman" w:hAnsi="Times New Roman" w:cs="Times New Roman"/>
          <w:color w:val="000000"/>
          <w:sz w:val="24"/>
          <w:szCs w:val="24"/>
          <w:lang w:eastAsia="pt-BR"/>
        </w:rPr>
        <w:t xml:space="preserve">alguns equívocos de política macroeconômica e sua administração inadequada pelo governo. Aparentemente, estas políticas foram implementadas para estimular a confiança dos agentes por meio da criação de uma convenção otimista sobre o futuro da economia brasileira que, por sua vez, deveria detonar o </w:t>
      </w:r>
      <w:r w:rsidR="00E8788B" w:rsidRPr="00E8788B">
        <w:rPr>
          <w:rFonts w:ascii="Times New Roman" w:eastAsia="Times New Roman" w:hAnsi="Times New Roman" w:cs="Times New Roman"/>
          <w:i/>
          <w:color w:val="000000"/>
          <w:sz w:val="24"/>
          <w:szCs w:val="24"/>
          <w:lang w:eastAsia="pt-BR"/>
        </w:rPr>
        <w:t xml:space="preserve">animal </w:t>
      </w:r>
      <w:proofErr w:type="spellStart"/>
      <w:r w:rsidR="00E8788B" w:rsidRPr="00E8788B">
        <w:rPr>
          <w:rFonts w:ascii="Times New Roman" w:eastAsia="Times New Roman" w:hAnsi="Times New Roman" w:cs="Times New Roman"/>
          <w:i/>
          <w:color w:val="000000"/>
          <w:sz w:val="24"/>
          <w:szCs w:val="24"/>
          <w:lang w:eastAsia="pt-BR"/>
        </w:rPr>
        <w:t>spirits</w:t>
      </w:r>
      <w:proofErr w:type="spellEnd"/>
      <w:r w:rsidR="00E8788B">
        <w:rPr>
          <w:rFonts w:ascii="Times New Roman" w:eastAsia="Times New Roman" w:hAnsi="Times New Roman" w:cs="Times New Roman"/>
          <w:color w:val="000000"/>
          <w:sz w:val="24"/>
          <w:szCs w:val="24"/>
          <w:lang w:eastAsia="pt-BR"/>
        </w:rPr>
        <w:t xml:space="preserve"> dos empresários e os investimentos. Contudo, estas políticas eram inadequadas e alcançaram o efeito oposto, conforme descrevemos neste artigo.</w:t>
      </w:r>
    </w:p>
    <w:p w:rsidR="00486F09" w:rsidRPr="00486F09" w:rsidRDefault="00486F09" w:rsidP="00436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pt-BR"/>
        </w:rPr>
      </w:pPr>
    </w:p>
    <w:p w:rsidR="00486F09" w:rsidRPr="0043680A" w:rsidRDefault="00486F09" w:rsidP="00436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pt-BR"/>
        </w:rPr>
      </w:pPr>
      <w:r w:rsidRPr="00486F09">
        <w:rPr>
          <w:rFonts w:ascii="Times New Roman" w:eastAsia="Times New Roman" w:hAnsi="Times New Roman" w:cs="Times New Roman"/>
          <w:b/>
          <w:color w:val="000000"/>
          <w:sz w:val="24"/>
          <w:szCs w:val="24"/>
          <w:lang w:eastAsia="pt-BR"/>
        </w:rPr>
        <w:t>Palavras-Chave:</w:t>
      </w:r>
      <w:r w:rsidRPr="00486F09">
        <w:rPr>
          <w:rFonts w:ascii="Times New Roman" w:eastAsia="Times New Roman" w:hAnsi="Times New Roman" w:cs="Times New Roman"/>
          <w:color w:val="000000"/>
          <w:sz w:val="24"/>
          <w:szCs w:val="24"/>
          <w:lang w:eastAsia="pt-BR"/>
        </w:rPr>
        <w:t xml:space="preserve"> economia brasileira, política econômica, convenções</w:t>
      </w:r>
    </w:p>
    <w:p w:rsidR="00237653" w:rsidRPr="008210C1" w:rsidRDefault="00237653" w:rsidP="00821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A70649" w:rsidRDefault="00A70649" w:rsidP="003B545F">
      <w:pPr>
        <w:spacing w:after="0" w:line="240" w:lineRule="auto"/>
        <w:jc w:val="center"/>
        <w:outlineLvl w:val="0"/>
        <w:rPr>
          <w:rFonts w:ascii="Times New Roman" w:hAnsi="Times New Roman" w:cs="Times New Roman"/>
          <w:b/>
          <w:sz w:val="24"/>
          <w:szCs w:val="24"/>
          <w:lang w:val="en-US"/>
        </w:rPr>
      </w:pPr>
    </w:p>
    <w:p w:rsidR="003B545F" w:rsidRDefault="005508CC" w:rsidP="003B545F">
      <w:pPr>
        <w:spacing w:after="0" w:line="240" w:lineRule="auto"/>
        <w:jc w:val="center"/>
        <w:outlineLvl w:val="0"/>
        <w:rPr>
          <w:rFonts w:ascii="Times New Roman" w:hAnsi="Times New Roman" w:cs="Times New Roman"/>
          <w:b/>
          <w:sz w:val="24"/>
          <w:szCs w:val="24"/>
          <w:lang w:val="en-US"/>
        </w:rPr>
      </w:pPr>
      <w:r w:rsidRPr="008210C1">
        <w:rPr>
          <w:rFonts w:ascii="Times New Roman" w:hAnsi="Times New Roman" w:cs="Times New Roman"/>
          <w:b/>
          <w:sz w:val="24"/>
          <w:szCs w:val="24"/>
          <w:lang w:val="en-US"/>
        </w:rPr>
        <w:t>Abstract</w:t>
      </w:r>
    </w:p>
    <w:p w:rsidR="00F27926" w:rsidRPr="008210C1" w:rsidRDefault="005508CC" w:rsidP="008210C1">
      <w:pPr>
        <w:spacing w:after="0" w:line="240" w:lineRule="auto"/>
        <w:jc w:val="both"/>
        <w:outlineLvl w:val="0"/>
        <w:rPr>
          <w:rFonts w:ascii="Times New Roman" w:eastAsia="Times New Roman" w:hAnsi="Times New Roman" w:cs="Times New Roman"/>
          <w:sz w:val="24"/>
          <w:szCs w:val="24"/>
          <w:lang w:val="en-GB"/>
        </w:rPr>
      </w:pPr>
      <w:r w:rsidRPr="008210C1">
        <w:rPr>
          <w:rFonts w:ascii="Times New Roman" w:hAnsi="Times New Roman" w:cs="Times New Roman"/>
          <w:sz w:val="24"/>
          <w:szCs w:val="24"/>
          <w:lang w:val="en-US"/>
        </w:rPr>
        <w:t>Over</w:t>
      </w:r>
      <w:r w:rsidR="0069578C"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2004-2008 and 2009-2014 the Brazilian economy performed</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an average growth rate of 4</w:t>
      </w:r>
      <w:r w:rsidR="00C70410"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8% and 2</w:t>
      </w:r>
      <w:r w:rsidR="00C70410"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7% per year, respectively. After 2014, however, the economy emerged into a deep depression showing growth</w:t>
      </w:r>
      <w:r w:rsidR="00DB34D9" w:rsidRPr="008210C1">
        <w:rPr>
          <w:rFonts w:ascii="Times New Roman" w:hAnsi="Times New Roman" w:cs="Times New Roman"/>
          <w:sz w:val="24"/>
          <w:szCs w:val="24"/>
          <w:lang w:val="en-US"/>
        </w:rPr>
        <w:t xml:space="preserve"> rates of -3</w:t>
      </w:r>
      <w:r w:rsidR="00C70410" w:rsidRPr="008210C1">
        <w:rPr>
          <w:rFonts w:ascii="Times New Roman" w:hAnsi="Times New Roman" w:cs="Times New Roman"/>
          <w:sz w:val="24"/>
          <w:szCs w:val="24"/>
          <w:lang w:val="en-US"/>
        </w:rPr>
        <w:t>.</w:t>
      </w:r>
      <w:r w:rsidR="00DB34D9" w:rsidRPr="008210C1">
        <w:rPr>
          <w:rFonts w:ascii="Times New Roman" w:hAnsi="Times New Roman" w:cs="Times New Roman"/>
          <w:sz w:val="24"/>
          <w:szCs w:val="24"/>
          <w:lang w:val="en-US"/>
        </w:rPr>
        <w:t>8% in 2015 and -3</w:t>
      </w:r>
      <w:r w:rsidR="00C70410" w:rsidRPr="008210C1">
        <w:rPr>
          <w:rFonts w:ascii="Times New Roman" w:hAnsi="Times New Roman" w:cs="Times New Roman"/>
          <w:sz w:val="24"/>
          <w:szCs w:val="24"/>
          <w:lang w:val="en-US"/>
        </w:rPr>
        <w:t>.</w:t>
      </w:r>
      <w:r w:rsidR="00DB34D9" w:rsidRPr="008210C1">
        <w:rPr>
          <w:rFonts w:ascii="Times New Roman" w:hAnsi="Times New Roman" w:cs="Times New Roman"/>
          <w:sz w:val="24"/>
          <w:szCs w:val="24"/>
          <w:lang w:val="en-US"/>
        </w:rPr>
        <w:t>6</w:t>
      </w:r>
      <w:r w:rsidRPr="008210C1">
        <w:rPr>
          <w:rFonts w:ascii="Times New Roman" w:hAnsi="Times New Roman" w:cs="Times New Roman"/>
          <w:sz w:val="24"/>
          <w:szCs w:val="24"/>
          <w:lang w:val="en-US"/>
        </w:rPr>
        <w:t>% in 2016. In view of that, this</w:t>
      </w:r>
      <w:r w:rsidR="0043680A">
        <w:rPr>
          <w:rFonts w:ascii="Times New Roman" w:hAnsi="Times New Roman" w:cs="Times New Roman"/>
          <w:sz w:val="24"/>
          <w:szCs w:val="24"/>
          <w:lang w:val="en-US"/>
        </w:rPr>
        <w:t xml:space="preserve"> paper</w:t>
      </w:r>
      <w:r w:rsidRPr="008210C1">
        <w:rPr>
          <w:rFonts w:ascii="Times New Roman" w:hAnsi="Times New Roman" w:cs="Times New Roman"/>
          <w:sz w:val="24"/>
          <w:szCs w:val="24"/>
          <w:lang w:val="en-US"/>
        </w:rPr>
        <w:t xml:space="preserve"> aims to analyze the causes of the Brazilian crisis,</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based on</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a</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Post-Keynesian point of view to</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focus</w:t>
      </w:r>
      <w:r w:rsidR="00811E5D" w:rsidRPr="008210C1">
        <w:rPr>
          <w:rFonts w:ascii="Times New Roman" w:hAnsi="Times New Roman" w:cs="Times New Roman"/>
          <w:sz w:val="24"/>
          <w:szCs w:val="24"/>
          <w:lang w:val="en-US"/>
        </w:rPr>
        <w:t xml:space="preserve"> </w:t>
      </w:r>
      <w:r w:rsidR="00F47B43" w:rsidRPr="008210C1">
        <w:rPr>
          <w:rFonts w:ascii="Times New Roman" w:hAnsi="Times New Roman" w:cs="Times New Roman"/>
          <w:sz w:val="24"/>
          <w:szCs w:val="24"/>
          <w:lang w:val="en-US"/>
        </w:rPr>
        <w:t>o</w:t>
      </w:r>
      <w:r w:rsidRPr="008210C1">
        <w:rPr>
          <w:rFonts w:ascii="Times New Roman" w:hAnsi="Times New Roman" w:cs="Times New Roman"/>
          <w:sz w:val="24"/>
          <w:szCs w:val="24"/>
          <w:lang w:val="en-US"/>
        </w:rPr>
        <w:t>n</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two issues: </w:t>
      </w:r>
      <w:r w:rsidR="00881EE9" w:rsidRPr="008210C1">
        <w:rPr>
          <w:rFonts w:ascii="Times New Roman" w:hAnsi="Times New Roman" w:cs="Times New Roman"/>
          <w:sz w:val="24"/>
          <w:szCs w:val="24"/>
          <w:lang w:val="en-US"/>
        </w:rPr>
        <w:t>(</w:t>
      </w:r>
      <w:proofErr w:type="spellStart"/>
      <w:r w:rsidRPr="008210C1">
        <w:rPr>
          <w:rFonts w:ascii="Times New Roman" w:hAnsi="Times New Roman" w:cs="Times New Roman"/>
          <w:sz w:val="24"/>
          <w:szCs w:val="24"/>
          <w:lang w:val="en-US"/>
        </w:rPr>
        <w:t>i</w:t>
      </w:r>
      <w:proofErr w:type="spellEnd"/>
      <w:r w:rsidRPr="008210C1">
        <w:rPr>
          <w:rFonts w:ascii="Times New Roman" w:hAnsi="Times New Roman" w:cs="Times New Roman"/>
          <w:sz w:val="24"/>
          <w:szCs w:val="24"/>
          <w:lang w:val="en-US"/>
        </w:rPr>
        <w:t xml:space="preserve">) the inconsistency between the social and macroeconomic policies, in </w:t>
      </w:r>
      <w:proofErr w:type="gramStart"/>
      <w:r w:rsidRPr="008210C1">
        <w:rPr>
          <w:rFonts w:ascii="Times New Roman" w:hAnsi="Times New Roman" w:cs="Times New Roman"/>
          <w:sz w:val="24"/>
          <w:szCs w:val="24"/>
          <w:lang w:val="en-US"/>
        </w:rPr>
        <w:t>particular the</w:t>
      </w:r>
      <w:proofErr w:type="gramEnd"/>
      <w:r w:rsidRPr="008210C1">
        <w:rPr>
          <w:rFonts w:ascii="Times New Roman" w:hAnsi="Times New Roman" w:cs="Times New Roman"/>
          <w:sz w:val="24"/>
          <w:szCs w:val="24"/>
          <w:lang w:val="en-US"/>
        </w:rPr>
        <w:t xml:space="preserve"> exchange rate policy, adopted over</w:t>
      </w:r>
      <w:r w:rsidR="0069578C"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2003-2014; </w:t>
      </w:r>
      <w:r w:rsidR="00881EE9"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ii)</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some</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macroeconomic polic</w:t>
      </w:r>
      <w:r w:rsidR="00F47B43" w:rsidRPr="008210C1">
        <w:rPr>
          <w:rFonts w:ascii="Times New Roman" w:hAnsi="Times New Roman" w:cs="Times New Roman"/>
          <w:sz w:val="24"/>
          <w:szCs w:val="24"/>
          <w:lang w:val="en-US"/>
        </w:rPr>
        <w:t>y</w:t>
      </w:r>
      <w:r w:rsidRPr="008210C1">
        <w:rPr>
          <w:rFonts w:ascii="Times New Roman" w:hAnsi="Times New Roman" w:cs="Times New Roman"/>
          <w:sz w:val="24"/>
          <w:szCs w:val="24"/>
          <w:lang w:val="en-US"/>
        </w:rPr>
        <w:t xml:space="preserve"> mistakes and their inappropriate management by the government. At the first sight</w:t>
      </w:r>
      <w:r w:rsidR="00C70410"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th</w:t>
      </w:r>
      <w:r w:rsidR="00F47B43" w:rsidRPr="008210C1">
        <w:rPr>
          <w:rFonts w:ascii="Times New Roman" w:hAnsi="Times New Roman" w:cs="Times New Roman"/>
          <w:sz w:val="24"/>
          <w:szCs w:val="24"/>
          <w:lang w:val="en-US"/>
        </w:rPr>
        <w:t>o</w:t>
      </w:r>
      <w:r w:rsidRPr="008210C1">
        <w:rPr>
          <w:rFonts w:ascii="Times New Roman" w:hAnsi="Times New Roman" w:cs="Times New Roman"/>
          <w:sz w:val="24"/>
          <w:szCs w:val="24"/>
          <w:lang w:val="en-US"/>
        </w:rPr>
        <w:t>se policies were intended</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to boost the agents’ confidence by creating an optimistic convention about the future of the Brazilian economy what would</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trigger the entrepreneurs’ animal spirits and investments. However, these policies had gone wrong and reached the opposite effect</w:t>
      </w:r>
      <w:r w:rsidR="00823EE3" w:rsidRPr="008210C1">
        <w:rPr>
          <w:rFonts w:ascii="Times New Roman" w:hAnsi="Times New Roman" w:cs="Times New Roman"/>
          <w:sz w:val="24"/>
          <w:szCs w:val="24"/>
          <w:lang w:val="en-US"/>
        </w:rPr>
        <w:t xml:space="preserve"> as we describe</w:t>
      </w:r>
      <w:r w:rsidRPr="008210C1">
        <w:rPr>
          <w:rFonts w:ascii="Times New Roman" w:hAnsi="Times New Roman" w:cs="Times New Roman"/>
          <w:sz w:val="24"/>
          <w:szCs w:val="24"/>
          <w:lang w:val="en-US"/>
        </w:rPr>
        <w:t>.</w:t>
      </w:r>
      <w:r w:rsidR="00811E5D" w:rsidRPr="008210C1">
        <w:rPr>
          <w:rFonts w:ascii="Times New Roman" w:hAnsi="Times New Roman" w:cs="Times New Roman"/>
          <w:sz w:val="24"/>
          <w:szCs w:val="24"/>
          <w:lang w:val="en-US"/>
        </w:rPr>
        <w:t xml:space="preserve"> </w:t>
      </w:r>
    </w:p>
    <w:p w:rsidR="00277A4E" w:rsidRDefault="00277A4E" w:rsidP="008210C1">
      <w:pPr>
        <w:spacing w:line="240" w:lineRule="auto"/>
        <w:jc w:val="both"/>
        <w:rPr>
          <w:rFonts w:ascii="Times New Roman" w:eastAsia="Times New Roman" w:hAnsi="Times New Roman" w:cs="Times New Roman"/>
          <w:sz w:val="24"/>
          <w:szCs w:val="24"/>
          <w:lang w:val="en-GB"/>
        </w:rPr>
      </w:pPr>
    </w:p>
    <w:p w:rsidR="00837E64" w:rsidRDefault="00837E64" w:rsidP="008210C1">
      <w:pPr>
        <w:spacing w:line="240" w:lineRule="auto"/>
        <w:jc w:val="both"/>
        <w:rPr>
          <w:rFonts w:ascii="Times New Roman" w:eastAsia="Times New Roman" w:hAnsi="Times New Roman" w:cs="Times New Roman"/>
          <w:sz w:val="24"/>
          <w:szCs w:val="24"/>
          <w:lang w:val="en-GB"/>
        </w:rPr>
      </w:pPr>
      <w:r w:rsidRPr="00837E64">
        <w:rPr>
          <w:rFonts w:ascii="Times New Roman" w:eastAsia="Times New Roman" w:hAnsi="Times New Roman" w:cs="Times New Roman"/>
          <w:b/>
          <w:sz w:val="24"/>
          <w:szCs w:val="24"/>
          <w:lang w:val="en-GB"/>
        </w:rPr>
        <w:t>Key words:</w:t>
      </w:r>
      <w:r>
        <w:rPr>
          <w:rFonts w:ascii="Times New Roman" w:eastAsia="Times New Roman" w:hAnsi="Times New Roman" w:cs="Times New Roman"/>
          <w:sz w:val="24"/>
          <w:szCs w:val="24"/>
          <w:lang w:val="en-GB"/>
        </w:rPr>
        <w:t xml:space="preserve"> Brazilian economy, economic policy, conventions</w:t>
      </w:r>
    </w:p>
    <w:p w:rsidR="00486F09" w:rsidRDefault="00486F09" w:rsidP="008210C1">
      <w:pPr>
        <w:spacing w:line="240" w:lineRule="auto"/>
        <w:jc w:val="both"/>
        <w:rPr>
          <w:rFonts w:ascii="Times New Roman" w:eastAsia="Times New Roman" w:hAnsi="Times New Roman" w:cs="Times New Roman"/>
          <w:b/>
          <w:sz w:val="24"/>
          <w:szCs w:val="24"/>
          <w:lang w:val="en-GB"/>
        </w:rPr>
      </w:pPr>
    </w:p>
    <w:p w:rsidR="00837E64" w:rsidRPr="00837E64" w:rsidRDefault="00837E64" w:rsidP="008210C1">
      <w:pPr>
        <w:spacing w:line="240" w:lineRule="auto"/>
        <w:jc w:val="both"/>
        <w:rPr>
          <w:rFonts w:ascii="Times New Roman" w:eastAsia="Times New Roman" w:hAnsi="Times New Roman" w:cs="Times New Roman"/>
          <w:sz w:val="24"/>
          <w:szCs w:val="24"/>
          <w:lang w:val="en-GB"/>
        </w:rPr>
      </w:pPr>
      <w:r w:rsidRPr="00837E64">
        <w:rPr>
          <w:rFonts w:ascii="Times New Roman" w:eastAsia="Times New Roman" w:hAnsi="Times New Roman" w:cs="Times New Roman"/>
          <w:b/>
          <w:sz w:val="24"/>
          <w:szCs w:val="24"/>
          <w:lang w:val="en-GB"/>
        </w:rPr>
        <w:t xml:space="preserve">Código JEL: </w:t>
      </w:r>
      <w:r w:rsidRPr="00837E64">
        <w:rPr>
          <w:rFonts w:ascii="Times New Roman" w:eastAsia="Times New Roman" w:hAnsi="Times New Roman" w:cs="Times New Roman"/>
          <w:sz w:val="24"/>
          <w:szCs w:val="24"/>
          <w:lang w:val="en-GB"/>
        </w:rPr>
        <w:t>E12, E60</w:t>
      </w:r>
      <w:r w:rsidR="00486F09">
        <w:rPr>
          <w:rFonts w:ascii="Times New Roman" w:eastAsia="Times New Roman" w:hAnsi="Times New Roman" w:cs="Times New Roman"/>
          <w:sz w:val="24"/>
          <w:szCs w:val="24"/>
          <w:lang w:val="en-GB"/>
        </w:rPr>
        <w:t>, H00</w:t>
      </w:r>
    </w:p>
    <w:p w:rsidR="00A70649" w:rsidRDefault="00A70649" w:rsidP="008210C1">
      <w:pPr>
        <w:spacing w:line="240" w:lineRule="auto"/>
        <w:jc w:val="both"/>
        <w:rPr>
          <w:rFonts w:ascii="Times New Roman" w:eastAsia="Times New Roman" w:hAnsi="Times New Roman" w:cs="Times New Roman"/>
          <w:b/>
          <w:sz w:val="24"/>
          <w:szCs w:val="24"/>
          <w:lang w:val="en-GB"/>
        </w:rPr>
      </w:pPr>
    </w:p>
    <w:p w:rsidR="003B545F" w:rsidRDefault="003B545F" w:rsidP="008210C1">
      <w:pPr>
        <w:spacing w:line="240" w:lineRule="auto"/>
        <w:jc w:val="both"/>
        <w:rPr>
          <w:rFonts w:ascii="Times New Roman" w:eastAsia="Times New Roman" w:hAnsi="Times New Roman" w:cs="Times New Roman"/>
          <w:sz w:val="24"/>
          <w:szCs w:val="24"/>
          <w:lang w:val="en-GB"/>
        </w:rPr>
      </w:pPr>
      <w:proofErr w:type="spellStart"/>
      <w:r w:rsidRPr="003B545F">
        <w:rPr>
          <w:rFonts w:ascii="Times New Roman" w:eastAsia="Times New Roman" w:hAnsi="Times New Roman" w:cs="Times New Roman"/>
          <w:b/>
          <w:sz w:val="24"/>
          <w:szCs w:val="24"/>
          <w:lang w:val="en-GB"/>
        </w:rPr>
        <w:t>Área</w:t>
      </w:r>
      <w:proofErr w:type="spellEnd"/>
      <w:r w:rsidRPr="003B545F">
        <w:rPr>
          <w:rFonts w:ascii="Times New Roman" w:eastAsia="Times New Roman" w:hAnsi="Times New Roman" w:cs="Times New Roman"/>
          <w:b/>
          <w:sz w:val="24"/>
          <w:szCs w:val="24"/>
          <w:lang w:val="en-GB"/>
        </w:rPr>
        <w:t xml:space="preserve"> 1:</w:t>
      </w:r>
      <w:r w:rsidRPr="003B545F">
        <w:rPr>
          <w:rFonts w:ascii="Times New Roman" w:eastAsia="Times New Roman" w:hAnsi="Times New Roman" w:cs="Times New Roman"/>
          <w:sz w:val="24"/>
          <w:szCs w:val="24"/>
          <w:lang w:val="en-GB"/>
        </w:rPr>
        <w:t xml:space="preserve"> </w:t>
      </w:r>
      <w:proofErr w:type="spellStart"/>
      <w:r w:rsidRPr="003B545F">
        <w:rPr>
          <w:rFonts w:ascii="Times New Roman" w:eastAsia="Times New Roman" w:hAnsi="Times New Roman" w:cs="Times New Roman"/>
          <w:sz w:val="24"/>
          <w:szCs w:val="24"/>
          <w:lang w:val="en-GB"/>
        </w:rPr>
        <w:t>Macroeconomia</w:t>
      </w:r>
      <w:proofErr w:type="spellEnd"/>
      <w:r w:rsidRPr="003B545F">
        <w:rPr>
          <w:rFonts w:ascii="Times New Roman" w:eastAsia="Times New Roman" w:hAnsi="Times New Roman" w:cs="Times New Roman"/>
          <w:sz w:val="24"/>
          <w:szCs w:val="24"/>
          <w:lang w:val="en-GB"/>
        </w:rPr>
        <w:t xml:space="preserve">, </w:t>
      </w:r>
      <w:proofErr w:type="spellStart"/>
      <w:r w:rsidRPr="003B545F">
        <w:rPr>
          <w:rFonts w:ascii="Times New Roman" w:eastAsia="Times New Roman" w:hAnsi="Times New Roman" w:cs="Times New Roman"/>
          <w:sz w:val="24"/>
          <w:szCs w:val="24"/>
          <w:lang w:val="en-GB"/>
        </w:rPr>
        <w:t>política</w:t>
      </w:r>
      <w:proofErr w:type="spellEnd"/>
      <w:r w:rsidRPr="003B545F">
        <w:rPr>
          <w:rFonts w:ascii="Times New Roman" w:eastAsia="Times New Roman" w:hAnsi="Times New Roman" w:cs="Times New Roman"/>
          <w:sz w:val="24"/>
          <w:szCs w:val="24"/>
          <w:lang w:val="en-GB"/>
        </w:rPr>
        <w:t xml:space="preserve"> </w:t>
      </w:r>
      <w:proofErr w:type="spellStart"/>
      <w:r w:rsidRPr="003B545F">
        <w:rPr>
          <w:rFonts w:ascii="Times New Roman" w:eastAsia="Times New Roman" w:hAnsi="Times New Roman" w:cs="Times New Roman"/>
          <w:sz w:val="24"/>
          <w:szCs w:val="24"/>
          <w:lang w:val="en-GB"/>
        </w:rPr>
        <w:t>econômica</w:t>
      </w:r>
      <w:proofErr w:type="spellEnd"/>
      <w:r w:rsidRPr="003B545F">
        <w:rPr>
          <w:rFonts w:ascii="Times New Roman" w:eastAsia="Times New Roman" w:hAnsi="Times New Roman" w:cs="Times New Roman"/>
          <w:sz w:val="24"/>
          <w:szCs w:val="24"/>
          <w:lang w:val="en-GB"/>
        </w:rPr>
        <w:t xml:space="preserve"> e </w:t>
      </w:r>
      <w:proofErr w:type="spellStart"/>
      <w:r w:rsidRPr="003B545F">
        <w:rPr>
          <w:rFonts w:ascii="Times New Roman" w:eastAsia="Times New Roman" w:hAnsi="Times New Roman" w:cs="Times New Roman"/>
          <w:sz w:val="24"/>
          <w:szCs w:val="24"/>
          <w:lang w:val="en-GB"/>
        </w:rPr>
        <w:t>financiamento</w:t>
      </w:r>
      <w:proofErr w:type="spellEnd"/>
      <w:r w:rsidRPr="003B545F">
        <w:rPr>
          <w:rFonts w:ascii="Times New Roman" w:eastAsia="Times New Roman" w:hAnsi="Times New Roman" w:cs="Times New Roman"/>
          <w:sz w:val="24"/>
          <w:szCs w:val="24"/>
          <w:lang w:val="en-GB"/>
        </w:rPr>
        <w:t xml:space="preserve"> do </w:t>
      </w:r>
      <w:proofErr w:type="spellStart"/>
      <w:r w:rsidRPr="003B545F">
        <w:rPr>
          <w:rFonts w:ascii="Times New Roman" w:eastAsia="Times New Roman" w:hAnsi="Times New Roman" w:cs="Times New Roman"/>
          <w:sz w:val="24"/>
          <w:szCs w:val="24"/>
          <w:lang w:val="en-GB"/>
        </w:rPr>
        <w:t>desenvolvimento</w:t>
      </w:r>
      <w:proofErr w:type="spellEnd"/>
    </w:p>
    <w:p w:rsidR="00FD5581" w:rsidRDefault="00FD558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rsidR="000A5F40" w:rsidRPr="008210C1" w:rsidRDefault="005508CC" w:rsidP="008210C1">
      <w:pPr>
        <w:spacing w:line="240" w:lineRule="auto"/>
        <w:jc w:val="both"/>
        <w:outlineLvl w:val="0"/>
        <w:rPr>
          <w:rFonts w:ascii="Times New Roman" w:eastAsia="Times New Roman" w:hAnsi="Times New Roman" w:cs="Times New Roman"/>
          <w:b/>
          <w:sz w:val="24"/>
          <w:szCs w:val="24"/>
          <w:lang w:val="en-GB"/>
        </w:rPr>
      </w:pPr>
      <w:r w:rsidRPr="008210C1">
        <w:rPr>
          <w:rFonts w:ascii="Times New Roman" w:eastAsia="Times New Roman" w:hAnsi="Times New Roman" w:cs="Times New Roman"/>
          <w:b/>
          <w:sz w:val="24"/>
          <w:szCs w:val="24"/>
          <w:lang w:val="en-GB"/>
        </w:rPr>
        <w:lastRenderedPageBreak/>
        <w:t>1. Introduction</w:t>
      </w:r>
      <w:r w:rsidR="00F47B43" w:rsidRPr="008210C1">
        <w:rPr>
          <w:rStyle w:val="Refdenotaderodap"/>
          <w:rFonts w:ascii="Times New Roman" w:eastAsia="Times New Roman" w:hAnsi="Times New Roman" w:cs="Times New Roman"/>
          <w:b/>
          <w:sz w:val="24"/>
          <w:szCs w:val="24"/>
          <w:lang w:val="en-GB"/>
        </w:rPr>
        <w:footnoteReference w:id="1"/>
      </w:r>
    </w:p>
    <w:p w:rsidR="00F27926" w:rsidRPr="008210C1" w:rsidRDefault="005508CC" w:rsidP="008210C1">
      <w:pPr>
        <w:spacing w:after="0" w:line="240" w:lineRule="auto"/>
        <w:ind w:firstLine="709"/>
        <w:jc w:val="both"/>
        <w:rPr>
          <w:rFonts w:ascii="Times New Roman" w:eastAsia="Times New Roman" w:hAnsi="Times New Roman" w:cs="Times New Roman"/>
          <w:sz w:val="24"/>
          <w:szCs w:val="24"/>
          <w:lang w:val="en-GB"/>
        </w:rPr>
      </w:pPr>
      <w:r w:rsidRPr="008210C1">
        <w:rPr>
          <w:rFonts w:ascii="Times New Roman" w:eastAsia="Times New Roman" w:hAnsi="Times New Roman" w:cs="Times New Roman"/>
          <w:sz w:val="24"/>
          <w:szCs w:val="24"/>
          <w:lang w:val="en-GB"/>
        </w:rPr>
        <w:t xml:space="preserve">Keynes </w:t>
      </w:r>
      <w:r w:rsidR="00F47B43" w:rsidRPr="008210C1">
        <w:rPr>
          <w:rFonts w:ascii="Times New Roman" w:eastAsia="Times New Roman" w:hAnsi="Times New Roman" w:cs="Times New Roman"/>
          <w:sz w:val="24"/>
          <w:szCs w:val="24"/>
          <w:lang w:val="en-GB"/>
        </w:rPr>
        <w:t>(</w:t>
      </w:r>
      <w:r w:rsidR="005D0C2A" w:rsidRPr="008210C1">
        <w:rPr>
          <w:rFonts w:ascii="Times New Roman" w:eastAsia="Times New Roman" w:hAnsi="Times New Roman" w:cs="Times New Roman"/>
          <w:sz w:val="24"/>
          <w:szCs w:val="24"/>
          <w:lang w:val="en-GB"/>
        </w:rPr>
        <w:t>1973, 1980</w:t>
      </w:r>
      <w:r w:rsidR="00C107A8" w:rsidRPr="008210C1">
        <w:rPr>
          <w:rFonts w:ascii="Times New Roman" w:eastAsia="Times New Roman" w:hAnsi="Times New Roman" w:cs="Times New Roman"/>
          <w:sz w:val="24"/>
          <w:szCs w:val="24"/>
          <w:lang w:val="en-GB"/>
        </w:rPr>
        <w:t xml:space="preserve">, </w:t>
      </w:r>
      <w:r w:rsidR="00EE4404" w:rsidRPr="008210C1">
        <w:rPr>
          <w:rFonts w:ascii="Times New Roman" w:eastAsia="Times New Roman" w:hAnsi="Times New Roman" w:cs="Times New Roman"/>
          <w:sz w:val="24"/>
          <w:szCs w:val="24"/>
          <w:lang w:val="en-GB"/>
        </w:rPr>
        <w:t xml:space="preserve">and </w:t>
      </w:r>
      <w:r w:rsidR="00C107A8" w:rsidRPr="008210C1">
        <w:rPr>
          <w:rFonts w:ascii="Times New Roman" w:eastAsia="Times New Roman" w:hAnsi="Times New Roman" w:cs="Times New Roman"/>
          <w:sz w:val="24"/>
          <w:szCs w:val="24"/>
          <w:lang w:val="en-GB"/>
        </w:rPr>
        <w:t>1982</w:t>
      </w:r>
      <w:r w:rsidR="005D0C2A" w:rsidRPr="008210C1">
        <w:rPr>
          <w:rFonts w:ascii="Times New Roman" w:eastAsia="Times New Roman" w:hAnsi="Times New Roman" w:cs="Times New Roman"/>
          <w:sz w:val="24"/>
          <w:szCs w:val="24"/>
          <w:lang w:val="en-GB"/>
        </w:rPr>
        <w:t>)</w:t>
      </w:r>
      <w:r w:rsidR="00F47B43" w:rsidRPr="008210C1">
        <w:rPr>
          <w:rFonts w:ascii="Times New Roman" w:eastAsia="Times New Roman" w:hAnsi="Times New Roman" w:cs="Times New Roman"/>
          <w:sz w:val="24"/>
          <w:szCs w:val="24"/>
          <w:lang w:val="en-GB"/>
        </w:rPr>
        <w:t xml:space="preserve"> </w:t>
      </w:r>
      <w:r w:rsidRPr="008210C1">
        <w:rPr>
          <w:rFonts w:ascii="Times New Roman" w:eastAsia="Times New Roman" w:hAnsi="Times New Roman" w:cs="Times New Roman"/>
          <w:sz w:val="24"/>
          <w:szCs w:val="24"/>
          <w:lang w:val="en-GB"/>
        </w:rPr>
        <w:t xml:space="preserve">and </w:t>
      </w:r>
      <w:r w:rsidR="00840849" w:rsidRPr="008210C1">
        <w:rPr>
          <w:rFonts w:ascii="Times New Roman" w:eastAsia="Times New Roman" w:hAnsi="Times New Roman" w:cs="Times New Roman"/>
          <w:sz w:val="24"/>
          <w:szCs w:val="24"/>
          <w:lang w:val="en-GB"/>
        </w:rPr>
        <w:t>the</w:t>
      </w:r>
      <w:r w:rsidR="00BC5CE6" w:rsidRPr="008210C1">
        <w:rPr>
          <w:rFonts w:ascii="Times New Roman" w:eastAsia="Times New Roman" w:hAnsi="Times New Roman" w:cs="Times New Roman"/>
          <w:sz w:val="24"/>
          <w:szCs w:val="24"/>
          <w:lang w:val="en-GB"/>
        </w:rPr>
        <w:t xml:space="preserve"> Post Keynesian</w:t>
      </w:r>
      <w:r w:rsidR="00F47B43" w:rsidRPr="008210C1">
        <w:rPr>
          <w:rFonts w:ascii="Times New Roman" w:eastAsia="Times New Roman" w:hAnsi="Times New Roman" w:cs="Times New Roman"/>
          <w:sz w:val="24"/>
          <w:szCs w:val="24"/>
          <w:lang w:val="en-GB"/>
        </w:rPr>
        <w:t>s</w:t>
      </w:r>
      <w:r w:rsidR="007B1C13" w:rsidRPr="008210C1">
        <w:rPr>
          <w:rFonts w:ascii="Times New Roman" w:eastAsia="Times New Roman" w:hAnsi="Times New Roman" w:cs="Times New Roman"/>
          <w:sz w:val="24"/>
          <w:szCs w:val="24"/>
          <w:lang w:val="en-GB"/>
        </w:rPr>
        <w:t>, summarized in</w:t>
      </w:r>
      <w:r w:rsidR="00F47B43" w:rsidRPr="008210C1">
        <w:rPr>
          <w:rFonts w:ascii="Times New Roman" w:eastAsia="Times New Roman" w:hAnsi="Times New Roman" w:cs="Times New Roman"/>
          <w:sz w:val="24"/>
          <w:szCs w:val="24"/>
          <w:lang w:val="en-GB"/>
        </w:rPr>
        <w:t xml:space="preserve"> </w:t>
      </w:r>
      <w:proofErr w:type="spellStart"/>
      <w:r w:rsidR="00AB1CF8" w:rsidRPr="008210C1">
        <w:rPr>
          <w:rFonts w:ascii="Times New Roman" w:eastAsia="Times New Roman" w:hAnsi="Times New Roman" w:cs="Times New Roman"/>
          <w:sz w:val="24"/>
          <w:szCs w:val="24"/>
          <w:lang w:val="en-GB"/>
        </w:rPr>
        <w:t>Arestis</w:t>
      </w:r>
      <w:proofErr w:type="spellEnd"/>
      <w:r w:rsidR="00AB1CF8" w:rsidRPr="008210C1">
        <w:rPr>
          <w:rFonts w:ascii="Times New Roman" w:eastAsia="Times New Roman" w:hAnsi="Times New Roman" w:cs="Times New Roman"/>
          <w:sz w:val="24"/>
          <w:szCs w:val="24"/>
          <w:lang w:val="en-GB"/>
        </w:rPr>
        <w:t xml:space="preserve"> et al.</w:t>
      </w:r>
      <w:r w:rsidR="007B1C13" w:rsidRPr="008210C1">
        <w:rPr>
          <w:rFonts w:ascii="Times New Roman" w:eastAsia="Times New Roman" w:hAnsi="Times New Roman" w:cs="Times New Roman"/>
          <w:sz w:val="24"/>
          <w:szCs w:val="24"/>
          <w:lang w:val="en-GB"/>
        </w:rPr>
        <w:t xml:space="preserve"> (</w:t>
      </w:r>
      <w:r w:rsidR="005D0C2A" w:rsidRPr="008210C1">
        <w:rPr>
          <w:rFonts w:ascii="Times New Roman" w:eastAsia="Times New Roman" w:hAnsi="Times New Roman" w:cs="Times New Roman"/>
          <w:sz w:val="24"/>
          <w:szCs w:val="24"/>
          <w:lang w:val="en-GB"/>
        </w:rPr>
        <w:t>2016)</w:t>
      </w:r>
      <w:r w:rsidR="00F23C09" w:rsidRPr="008210C1">
        <w:rPr>
          <w:rFonts w:ascii="Times New Roman" w:eastAsia="Times New Roman" w:hAnsi="Times New Roman" w:cs="Times New Roman"/>
          <w:sz w:val="24"/>
          <w:szCs w:val="24"/>
          <w:lang w:val="en-GB"/>
        </w:rPr>
        <w:t>,</w:t>
      </w:r>
      <w:r w:rsidR="00BC5CE6" w:rsidRPr="008210C1">
        <w:rPr>
          <w:rFonts w:ascii="Times New Roman" w:eastAsia="Times New Roman" w:hAnsi="Times New Roman" w:cs="Times New Roman"/>
          <w:sz w:val="24"/>
          <w:szCs w:val="24"/>
          <w:lang w:val="en-GB"/>
        </w:rPr>
        <w:t xml:space="preserve"> prescribed economic policies aiming at solving the two main </w:t>
      </w:r>
      <w:r w:rsidR="00E91443" w:rsidRPr="008210C1">
        <w:rPr>
          <w:rFonts w:ascii="Times New Roman" w:eastAsia="Times New Roman" w:hAnsi="Times New Roman" w:cs="Times New Roman"/>
          <w:sz w:val="24"/>
          <w:szCs w:val="24"/>
          <w:lang w:val="en-GB"/>
        </w:rPr>
        <w:t>issues</w:t>
      </w:r>
      <w:r w:rsidR="00BC5CE6" w:rsidRPr="008210C1">
        <w:rPr>
          <w:rFonts w:ascii="Times New Roman" w:eastAsia="Times New Roman" w:hAnsi="Times New Roman" w:cs="Times New Roman"/>
          <w:sz w:val="24"/>
          <w:szCs w:val="24"/>
          <w:lang w:val="en-GB"/>
        </w:rPr>
        <w:t xml:space="preserve"> </w:t>
      </w:r>
      <w:r w:rsidR="00E91443" w:rsidRPr="008210C1">
        <w:rPr>
          <w:rFonts w:ascii="Times New Roman" w:eastAsia="Times New Roman" w:hAnsi="Times New Roman" w:cs="Times New Roman"/>
          <w:sz w:val="24"/>
          <w:szCs w:val="24"/>
          <w:lang w:val="en-GB"/>
        </w:rPr>
        <w:t>of the monetary economies of production</w:t>
      </w:r>
      <w:r w:rsidR="00BC5CE6" w:rsidRPr="008210C1">
        <w:rPr>
          <w:rFonts w:ascii="Times New Roman" w:eastAsia="Times New Roman" w:hAnsi="Times New Roman" w:cs="Times New Roman"/>
          <w:sz w:val="24"/>
          <w:szCs w:val="24"/>
          <w:lang w:val="en-GB"/>
        </w:rPr>
        <w:t xml:space="preserve">, namely </w:t>
      </w:r>
      <w:r w:rsidR="00D635ED" w:rsidRPr="008210C1">
        <w:rPr>
          <w:rFonts w:ascii="Times New Roman" w:eastAsia="Times New Roman" w:hAnsi="Times New Roman" w:cs="Times New Roman"/>
          <w:sz w:val="24"/>
          <w:szCs w:val="24"/>
          <w:lang w:val="en-GB"/>
        </w:rPr>
        <w:t>un</w:t>
      </w:r>
      <w:r w:rsidR="00BC5CE6" w:rsidRPr="008210C1">
        <w:rPr>
          <w:rFonts w:ascii="Times New Roman" w:eastAsia="Times New Roman" w:hAnsi="Times New Roman" w:cs="Times New Roman"/>
          <w:sz w:val="24"/>
          <w:szCs w:val="24"/>
          <w:lang w:val="en-GB"/>
        </w:rPr>
        <w:t xml:space="preserve">employment and its unequal income share. </w:t>
      </w:r>
      <w:r w:rsidR="00E91443" w:rsidRPr="008210C1">
        <w:rPr>
          <w:rFonts w:ascii="Times New Roman" w:eastAsia="Times New Roman" w:hAnsi="Times New Roman" w:cs="Times New Roman"/>
          <w:sz w:val="24"/>
          <w:szCs w:val="24"/>
          <w:lang w:val="en-GB"/>
        </w:rPr>
        <w:t>To Keynes</w:t>
      </w:r>
      <w:r w:rsidR="00F47B43" w:rsidRPr="008210C1">
        <w:rPr>
          <w:rFonts w:ascii="Times New Roman" w:eastAsia="Times New Roman" w:hAnsi="Times New Roman" w:cs="Times New Roman"/>
          <w:sz w:val="24"/>
          <w:szCs w:val="24"/>
          <w:lang w:val="en-GB"/>
        </w:rPr>
        <w:t xml:space="preserve"> (op. cit.)</w:t>
      </w:r>
      <w:r w:rsidR="00E91443" w:rsidRPr="008210C1">
        <w:rPr>
          <w:rFonts w:ascii="Times New Roman" w:eastAsia="Times New Roman" w:hAnsi="Times New Roman" w:cs="Times New Roman"/>
          <w:sz w:val="24"/>
          <w:szCs w:val="24"/>
          <w:lang w:val="en-GB"/>
        </w:rPr>
        <w:t>, t</w:t>
      </w:r>
      <w:r w:rsidR="00BC5CE6" w:rsidRPr="008210C1">
        <w:rPr>
          <w:rFonts w:ascii="Times New Roman" w:eastAsia="Times New Roman" w:hAnsi="Times New Roman" w:cs="Times New Roman"/>
          <w:sz w:val="24"/>
          <w:szCs w:val="24"/>
          <w:lang w:val="en-GB"/>
        </w:rPr>
        <w:t xml:space="preserve">he main macroeconomic policies </w:t>
      </w:r>
      <w:r w:rsidR="00E91443" w:rsidRPr="008210C1">
        <w:rPr>
          <w:rFonts w:ascii="Times New Roman" w:eastAsia="Times New Roman" w:hAnsi="Times New Roman" w:cs="Times New Roman"/>
          <w:sz w:val="24"/>
          <w:szCs w:val="24"/>
          <w:lang w:val="en-GB"/>
        </w:rPr>
        <w:t xml:space="preserve">are </w:t>
      </w:r>
      <w:r w:rsidR="00BC5CE6" w:rsidRPr="008210C1">
        <w:rPr>
          <w:rFonts w:ascii="Times New Roman" w:eastAsia="Times New Roman" w:hAnsi="Times New Roman" w:cs="Times New Roman"/>
          <w:sz w:val="24"/>
          <w:szCs w:val="24"/>
          <w:lang w:val="en-GB"/>
        </w:rPr>
        <w:t xml:space="preserve">the monetary, exchange rate and fiscal policies. Each has its own </w:t>
      </w:r>
      <w:r w:rsidR="00E91443" w:rsidRPr="008210C1">
        <w:rPr>
          <w:rFonts w:ascii="Times New Roman" w:eastAsia="Times New Roman" w:hAnsi="Times New Roman" w:cs="Times New Roman"/>
          <w:sz w:val="24"/>
          <w:szCs w:val="24"/>
          <w:lang w:val="en-GB"/>
        </w:rPr>
        <w:t>tools</w:t>
      </w:r>
      <w:r w:rsidR="00BC5CE6" w:rsidRPr="008210C1">
        <w:rPr>
          <w:rFonts w:ascii="Times New Roman" w:eastAsia="Times New Roman" w:hAnsi="Times New Roman" w:cs="Times New Roman"/>
          <w:sz w:val="24"/>
          <w:szCs w:val="24"/>
          <w:lang w:val="en-GB"/>
        </w:rPr>
        <w:t xml:space="preserve"> and specific goals and</w:t>
      </w:r>
      <w:r w:rsidR="00811E5D" w:rsidRPr="008210C1">
        <w:rPr>
          <w:rFonts w:ascii="Times New Roman" w:eastAsia="Times New Roman" w:hAnsi="Times New Roman" w:cs="Times New Roman"/>
          <w:sz w:val="24"/>
          <w:szCs w:val="24"/>
          <w:lang w:val="en-GB"/>
        </w:rPr>
        <w:t xml:space="preserve"> </w:t>
      </w:r>
      <w:r w:rsidR="00E91443" w:rsidRPr="008210C1">
        <w:rPr>
          <w:rFonts w:ascii="Times New Roman" w:eastAsia="Times New Roman" w:hAnsi="Times New Roman" w:cs="Times New Roman"/>
          <w:sz w:val="24"/>
          <w:szCs w:val="24"/>
          <w:lang w:val="en-GB"/>
        </w:rPr>
        <w:t xml:space="preserve">if </w:t>
      </w:r>
      <w:r w:rsidR="00BC5CE6" w:rsidRPr="008210C1">
        <w:rPr>
          <w:rFonts w:ascii="Times New Roman" w:eastAsia="Times New Roman" w:hAnsi="Times New Roman" w:cs="Times New Roman"/>
          <w:sz w:val="24"/>
          <w:szCs w:val="24"/>
          <w:lang w:val="en-GB"/>
        </w:rPr>
        <w:t>the</w:t>
      </w:r>
      <w:r w:rsidR="00C91C97" w:rsidRPr="008210C1">
        <w:rPr>
          <w:rFonts w:ascii="Times New Roman" w:eastAsia="Times New Roman" w:hAnsi="Times New Roman" w:cs="Times New Roman"/>
          <w:sz w:val="24"/>
          <w:szCs w:val="24"/>
          <w:lang w:val="en-GB"/>
        </w:rPr>
        <w:t>ir</w:t>
      </w:r>
      <w:r w:rsidR="00BC5CE6" w:rsidRPr="008210C1">
        <w:rPr>
          <w:rFonts w:ascii="Times New Roman" w:eastAsia="Times New Roman" w:hAnsi="Times New Roman" w:cs="Times New Roman"/>
          <w:sz w:val="24"/>
          <w:szCs w:val="24"/>
          <w:lang w:val="en-GB"/>
        </w:rPr>
        <w:t xml:space="preserve"> operation is coordinated and coherent, the two ultimate objectives of economic policy mix are expected to be </w:t>
      </w:r>
      <w:r w:rsidR="00E91443" w:rsidRPr="008210C1">
        <w:rPr>
          <w:rFonts w:ascii="Times New Roman" w:eastAsia="Times New Roman" w:hAnsi="Times New Roman" w:cs="Times New Roman"/>
          <w:sz w:val="24"/>
          <w:szCs w:val="24"/>
          <w:lang w:val="en-GB"/>
        </w:rPr>
        <w:t>reached</w:t>
      </w:r>
      <w:r w:rsidR="00BC5CE6" w:rsidRPr="008210C1">
        <w:rPr>
          <w:rFonts w:ascii="Times New Roman" w:eastAsia="Times New Roman" w:hAnsi="Times New Roman" w:cs="Times New Roman"/>
          <w:sz w:val="24"/>
          <w:szCs w:val="24"/>
          <w:lang w:val="en-GB"/>
        </w:rPr>
        <w:t xml:space="preserve">. Besides the State cooperation with the private activity through economic policies, Keynes </w:t>
      </w:r>
      <w:r w:rsidR="00F47B43" w:rsidRPr="008210C1">
        <w:rPr>
          <w:rFonts w:ascii="Times New Roman" w:eastAsia="Times New Roman" w:hAnsi="Times New Roman" w:cs="Times New Roman"/>
          <w:sz w:val="24"/>
          <w:szCs w:val="24"/>
          <w:lang w:val="en-GB"/>
        </w:rPr>
        <w:t>(</w:t>
      </w:r>
      <w:r w:rsidR="00C107A8" w:rsidRPr="008210C1">
        <w:rPr>
          <w:rFonts w:ascii="Times New Roman" w:eastAsia="Times New Roman" w:hAnsi="Times New Roman" w:cs="Times New Roman"/>
          <w:sz w:val="24"/>
          <w:szCs w:val="24"/>
          <w:lang w:val="en-GB"/>
        </w:rPr>
        <w:t>1973</w:t>
      </w:r>
      <w:r w:rsidR="00F47B43" w:rsidRPr="008210C1">
        <w:rPr>
          <w:rFonts w:ascii="Times New Roman" w:eastAsia="Times New Roman" w:hAnsi="Times New Roman" w:cs="Times New Roman"/>
          <w:sz w:val="24"/>
          <w:szCs w:val="24"/>
          <w:lang w:val="en-GB"/>
        </w:rPr>
        <w:t xml:space="preserve">) </w:t>
      </w:r>
      <w:r w:rsidR="00BC5CE6" w:rsidRPr="008210C1">
        <w:rPr>
          <w:rFonts w:ascii="Times New Roman" w:eastAsia="Times New Roman" w:hAnsi="Times New Roman" w:cs="Times New Roman"/>
          <w:sz w:val="24"/>
          <w:szCs w:val="24"/>
          <w:lang w:val="en-GB"/>
        </w:rPr>
        <w:t xml:space="preserve">claimed for a good institutional environment, that is, a set of </w:t>
      </w:r>
      <w:r w:rsidR="00CB2E6B" w:rsidRPr="008210C1">
        <w:rPr>
          <w:rFonts w:ascii="Times New Roman" w:eastAsia="Times New Roman" w:hAnsi="Times New Roman" w:cs="Times New Roman"/>
          <w:sz w:val="24"/>
          <w:szCs w:val="24"/>
          <w:lang w:val="en-GB"/>
        </w:rPr>
        <w:t>speeches,</w:t>
      </w:r>
      <w:r w:rsidR="00062CA0" w:rsidRPr="008210C1">
        <w:rPr>
          <w:rFonts w:ascii="Times New Roman" w:eastAsia="Times New Roman" w:hAnsi="Times New Roman" w:cs="Times New Roman"/>
          <w:sz w:val="24"/>
          <w:szCs w:val="24"/>
          <w:lang w:val="en-GB"/>
        </w:rPr>
        <w:t xml:space="preserve"> laws,</w:t>
      </w:r>
      <w:r w:rsidR="00CB2E6B" w:rsidRPr="008210C1">
        <w:rPr>
          <w:rFonts w:ascii="Times New Roman" w:eastAsia="Times New Roman" w:hAnsi="Times New Roman" w:cs="Times New Roman"/>
          <w:sz w:val="24"/>
          <w:szCs w:val="24"/>
          <w:lang w:val="en-GB"/>
        </w:rPr>
        <w:t xml:space="preserve"> </w:t>
      </w:r>
      <w:r w:rsidR="00BC5CE6" w:rsidRPr="008210C1">
        <w:rPr>
          <w:rFonts w:ascii="Times New Roman" w:eastAsia="Times New Roman" w:hAnsi="Times New Roman" w:cs="Times New Roman"/>
          <w:sz w:val="24"/>
          <w:szCs w:val="24"/>
          <w:lang w:val="en-GB"/>
        </w:rPr>
        <w:t>functional</w:t>
      </w:r>
      <w:r w:rsidR="00811E5D" w:rsidRPr="008210C1">
        <w:rPr>
          <w:rFonts w:ascii="Times New Roman" w:eastAsia="Times New Roman" w:hAnsi="Times New Roman" w:cs="Times New Roman"/>
          <w:sz w:val="24"/>
          <w:szCs w:val="24"/>
          <w:lang w:val="en-GB"/>
        </w:rPr>
        <w:t xml:space="preserve"> </w:t>
      </w:r>
      <w:r w:rsidR="00BC5CE6" w:rsidRPr="008210C1">
        <w:rPr>
          <w:rFonts w:ascii="Times New Roman" w:eastAsia="Times New Roman" w:hAnsi="Times New Roman" w:cs="Times New Roman"/>
          <w:sz w:val="24"/>
          <w:szCs w:val="24"/>
          <w:lang w:val="en-GB"/>
        </w:rPr>
        <w:t>bureaucracy, executions of contracts</w:t>
      </w:r>
      <w:r w:rsidR="00E91443" w:rsidRPr="008210C1">
        <w:rPr>
          <w:rFonts w:ascii="Times New Roman" w:eastAsia="Times New Roman" w:hAnsi="Times New Roman" w:cs="Times New Roman"/>
          <w:sz w:val="24"/>
          <w:szCs w:val="24"/>
          <w:lang w:val="en-GB"/>
        </w:rPr>
        <w:t>,</w:t>
      </w:r>
      <w:r w:rsidR="00BC5CE6" w:rsidRPr="008210C1">
        <w:rPr>
          <w:rFonts w:ascii="Times New Roman" w:eastAsia="Times New Roman" w:hAnsi="Times New Roman" w:cs="Times New Roman"/>
          <w:sz w:val="24"/>
          <w:szCs w:val="24"/>
          <w:lang w:val="en-GB"/>
        </w:rPr>
        <w:t xml:space="preserve"> </w:t>
      </w:r>
      <w:r w:rsidR="00E91443" w:rsidRPr="008210C1">
        <w:rPr>
          <w:rFonts w:ascii="Times New Roman" w:eastAsia="Times New Roman" w:hAnsi="Times New Roman" w:cs="Times New Roman"/>
          <w:sz w:val="24"/>
          <w:szCs w:val="24"/>
          <w:lang w:val="en-GB"/>
        </w:rPr>
        <w:t>etc.</w:t>
      </w:r>
      <w:r w:rsidR="00BC5CE6" w:rsidRPr="008210C1">
        <w:rPr>
          <w:rFonts w:ascii="Times New Roman" w:eastAsia="Times New Roman" w:hAnsi="Times New Roman" w:cs="Times New Roman"/>
          <w:sz w:val="24"/>
          <w:szCs w:val="24"/>
          <w:lang w:val="en-GB"/>
        </w:rPr>
        <w:t xml:space="preserve">, that allows the </w:t>
      </w:r>
      <w:r w:rsidR="00C91C97" w:rsidRPr="008210C1">
        <w:rPr>
          <w:rFonts w:ascii="Times New Roman" w:eastAsia="Times New Roman" w:hAnsi="Times New Roman" w:cs="Times New Roman"/>
          <w:sz w:val="24"/>
          <w:szCs w:val="24"/>
          <w:lang w:val="en-GB"/>
        </w:rPr>
        <w:t xml:space="preserve">best </w:t>
      </w:r>
      <w:r w:rsidR="00BC5CE6" w:rsidRPr="008210C1">
        <w:rPr>
          <w:rFonts w:ascii="Times New Roman" w:eastAsia="Times New Roman" w:hAnsi="Times New Roman" w:cs="Times New Roman"/>
          <w:sz w:val="24"/>
          <w:szCs w:val="24"/>
          <w:lang w:val="en-GB"/>
        </w:rPr>
        <w:t xml:space="preserve">business making process. </w:t>
      </w:r>
    </w:p>
    <w:p w:rsidR="00B25008" w:rsidRPr="008210C1" w:rsidRDefault="00BC5CE6" w:rsidP="008210C1">
      <w:pPr>
        <w:spacing w:after="0" w:line="240" w:lineRule="auto"/>
        <w:ind w:firstLine="709"/>
        <w:jc w:val="both"/>
        <w:rPr>
          <w:rFonts w:ascii="Times New Roman" w:eastAsia="Times New Roman" w:hAnsi="Times New Roman" w:cs="Times New Roman"/>
          <w:sz w:val="24"/>
          <w:szCs w:val="24"/>
          <w:lang w:val="en-GB"/>
        </w:rPr>
      </w:pPr>
      <w:r w:rsidRPr="008210C1">
        <w:rPr>
          <w:rFonts w:ascii="Times New Roman" w:eastAsia="Times New Roman" w:hAnsi="Times New Roman" w:cs="Times New Roman"/>
          <w:sz w:val="24"/>
          <w:szCs w:val="24"/>
          <w:lang w:val="en-GB"/>
        </w:rPr>
        <w:t xml:space="preserve">The </w:t>
      </w:r>
      <w:r w:rsidR="003A7003" w:rsidRPr="008210C1">
        <w:rPr>
          <w:rFonts w:ascii="Times New Roman" w:eastAsia="Times New Roman" w:hAnsi="Times New Roman" w:cs="Times New Roman"/>
          <w:sz w:val="24"/>
          <w:szCs w:val="24"/>
          <w:lang w:val="en-GB"/>
        </w:rPr>
        <w:t>complementarity</w:t>
      </w:r>
      <w:r w:rsidRPr="008210C1">
        <w:rPr>
          <w:rFonts w:ascii="Times New Roman" w:eastAsia="Times New Roman" w:hAnsi="Times New Roman" w:cs="Times New Roman"/>
          <w:sz w:val="24"/>
          <w:szCs w:val="24"/>
          <w:lang w:val="en-GB"/>
        </w:rPr>
        <w:t xml:space="preserve"> between</w:t>
      </w:r>
      <w:r w:rsidR="003A7003" w:rsidRPr="008210C1">
        <w:rPr>
          <w:rFonts w:ascii="Times New Roman" w:eastAsia="Times New Roman" w:hAnsi="Times New Roman" w:cs="Times New Roman"/>
          <w:sz w:val="24"/>
          <w:szCs w:val="24"/>
          <w:lang w:val="en-GB"/>
        </w:rPr>
        <w:t xml:space="preserve"> the</w:t>
      </w:r>
      <w:r w:rsidRPr="008210C1">
        <w:rPr>
          <w:rFonts w:ascii="Times New Roman" w:eastAsia="Times New Roman" w:hAnsi="Times New Roman" w:cs="Times New Roman"/>
          <w:sz w:val="24"/>
          <w:szCs w:val="24"/>
          <w:lang w:val="en-GB"/>
        </w:rPr>
        <w:t xml:space="preserve"> public and private initiatives comes from the </w:t>
      </w:r>
      <w:r w:rsidR="007E6483" w:rsidRPr="008210C1">
        <w:rPr>
          <w:rFonts w:ascii="Times New Roman" w:eastAsia="Times New Roman" w:hAnsi="Times New Roman" w:cs="Times New Roman"/>
          <w:sz w:val="24"/>
          <w:szCs w:val="24"/>
          <w:lang w:val="en-GB"/>
        </w:rPr>
        <w:t xml:space="preserve">economy’s </w:t>
      </w:r>
      <w:r w:rsidRPr="008210C1">
        <w:rPr>
          <w:rFonts w:ascii="Times New Roman" w:eastAsia="Times New Roman" w:hAnsi="Times New Roman" w:cs="Times New Roman"/>
          <w:sz w:val="24"/>
          <w:szCs w:val="24"/>
          <w:lang w:val="en-GB"/>
        </w:rPr>
        <w:t xml:space="preserve">nature: </w:t>
      </w:r>
      <w:r w:rsidR="003A7003" w:rsidRPr="008210C1">
        <w:rPr>
          <w:rFonts w:ascii="Times New Roman" w:eastAsia="Times New Roman" w:hAnsi="Times New Roman" w:cs="Times New Roman"/>
          <w:sz w:val="24"/>
          <w:szCs w:val="24"/>
          <w:lang w:val="en-GB"/>
        </w:rPr>
        <w:t xml:space="preserve">its </w:t>
      </w:r>
      <w:r w:rsidRPr="008210C1">
        <w:rPr>
          <w:rFonts w:ascii="Times New Roman" w:eastAsia="Times New Roman" w:hAnsi="Times New Roman" w:cs="Times New Roman"/>
          <w:sz w:val="24"/>
          <w:szCs w:val="24"/>
          <w:lang w:val="en-GB"/>
        </w:rPr>
        <w:t>dynamic</w:t>
      </w:r>
      <w:r w:rsidR="00F47B43" w:rsidRPr="008210C1">
        <w:rPr>
          <w:rFonts w:ascii="Times New Roman" w:eastAsia="Times New Roman" w:hAnsi="Times New Roman" w:cs="Times New Roman"/>
          <w:sz w:val="24"/>
          <w:szCs w:val="24"/>
          <w:lang w:val="en-GB"/>
        </w:rPr>
        <w:t>s</w:t>
      </w:r>
      <w:r w:rsidRPr="008210C1">
        <w:rPr>
          <w:rFonts w:ascii="Times New Roman" w:eastAsia="Times New Roman" w:hAnsi="Times New Roman" w:cs="Times New Roman"/>
          <w:sz w:val="24"/>
          <w:szCs w:val="24"/>
          <w:lang w:val="en-GB"/>
        </w:rPr>
        <w:t xml:space="preserve"> depend on private invest</w:t>
      </w:r>
      <w:r w:rsidR="00F47B43" w:rsidRPr="008210C1">
        <w:rPr>
          <w:rFonts w:ascii="Times New Roman" w:eastAsia="Times New Roman" w:hAnsi="Times New Roman" w:cs="Times New Roman"/>
          <w:sz w:val="24"/>
          <w:szCs w:val="24"/>
          <w:lang w:val="en-GB"/>
        </w:rPr>
        <w:t>ment</w:t>
      </w:r>
      <w:r w:rsidRPr="008210C1">
        <w:rPr>
          <w:rFonts w:ascii="Times New Roman" w:eastAsia="Times New Roman" w:hAnsi="Times New Roman" w:cs="Times New Roman"/>
          <w:sz w:val="24"/>
          <w:szCs w:val="24"/>
          <w:lang w:val="en-GB"/>
        </w:rPr>
        <w:t xml:space="preserve"> which is, however, undertake</w:t>
      </w:r>
      <w:r w:rsidR="00C70410" w:rsidRPr="008210C1">
        <w:rPr>
          <w:rFonts w:ascii="Times New Roman" w:eastAsia="Times New Roman" w:hAnsi="Times New Roman" w:cs="Times New Roman"/>
          <w:sz w:val="24"/>
          <w:szCs w:val="24"/>
          <w:lang w:val="en-GB"/>
        </w:rPr>
        <w:t>n</w:t>
      </w:r>
      <w:r w:rsidRPr="008210C1">
        <w:rPr>
          <w:rFonts w:ascii="Times New Roman" w:eastAsia="Times New Roman" w:hAnsi="Times New Roman" w:cs="Times New Roman"/>
          <w:sz w:val="24"/>
          <w:szCs w:val="24"/>
          <w:lang w:val="en-GB"/>
        </w:rPr>
        <w:t xml:space="preserve"> </w:t>
      </w:r>
      <w:r w:rsidR="00C91C97" w:rsidRPr="008210C1">
        <w:rPr>
          <w:rFonts w:ascii="Times New Roman" w:eastAsia="Times New Roman" w:hAnsi="Times New Roman" w:cs="Times New Roman"/>
          <w:sz w:val="24"/>
          <w:szCs w:val="24"/>
          <w:lang w:val="en-GB"/>
        </w:rPr>
        <w:t>under</w:t>
      </w:r>
      <w:r w:rsidRPr="008210C1">
        <w:rPr>
          <w:rFonts w:ascii="Times New Roman" w:eastAsia="Times New Roman" w:hAnsi="Times New Roman" w:cs="Times New Roman"/>
          <w:sz w:val="24"/>
          <w:szCs w:val="24"/>
          <w:lang w:val="en-GB"/>
        </w:rPr>
        <w:t xml:space="preserve"> uncertain</w:t>
      </w:r>
      <w:r w:rsidR="00C91C97" w:rsidRPr="008210C1">
        <w:rPr>
          <w:rFonts w:ascii="Times New Roman" w:eastAsia="Times New Roman" w:hAnsi="Times New Roman" w:cs="Times New Roman"/>
          <w:sz w:val="24"/>
          <w:szCs w:val="24"/>
          <w:lang w:val="en-GB"/>
        </w:rPr>
        <w:t>ty</w:t>
      </w:r>
      <w:r w:rsidRPr="008210C1">
        <w:rPr>
          <w:rFonts w:ascii="Times New Roman" w:eastAsia="Times New Roman" w:hAnsi="Times New Roman" w:cs="Times New Roman"/>
          <w:sz w:val="24"/>
          <w:szCs w:val="24"/>
          <w:lang w:val="en-GB"/>
        </w:rPr>
        <w:t xml:space="preserve">, as it is impossible to know </w:t>
      </w:r>
      <w:r w:rsidR="00F47B43" w:rsidRPr="008210C1">
        <w:rPr>
          <w:rFonts w:ascii="Times New Roman" w:eastAsia="Times New Roman" w:hAnsi="Times New Roman" w:cs="Times New Roman"/>
          <w:sz w:val="24"/>
          <w:szCs w:val="24"/>
          <w:lang w:val="en-GB"/>
        </w:rPr>
        <w:t>at</w:t>
      </w:r>
      <w:r w:rsidRPr="008210C1">
        <w:rPr>
          <w:rFonts w:ascii="Times New Roman" w:eastAsia="Times New Roman" w:hAnsi="Times New Roman" w:cs="Times New Roman"/>
          <w:sz w:val="24"/>
          <w:szCs w:val="24"/>
          <w:lang w:val="en-GB"/>
        </w:rPr>
        <w:t xml:space="preserve"> present, when investment </w:t>
      </w:r>
      <w:r w:rsidR="00C91C97" w:rsidRPr="008210C1">
        <w:rPr>
          <w:rFonts w:ascii="Times New Roman" w:eastAsia="Times New Roman" w:hAnsi="Times New Roman" w:cs="Times New Roman"/>
          <w:sz w:val="24"/>
          <w:szCs w:val="24"/>
          <w:lang w:val="en-GB"/>
        </w:rPr>
        <w:t>occurs</w:t>
      </w:r>
      <w:r w:rsidRPr="008210C1">
        <w:rPr>
          <w:rFonts w:ascii="Times New Roman" w:eastAsia="Times New Roman" w:hAnsi="Times New Roman" w:cs="Times New Roman"/>
          <w:sz w:val="24"/>
          <w:szCs w:val="24"/>
          <w:lang w:val="en-GB"/>
        </w:rPr>
        <w:t xml:space="preserve">, whether it would </w:t>
      </w:r>
      <w:r w:rsidR="00C70410" w:rsidRPr="008210C1">
        <w:rPr>
          <w:rFonts w:ascii="Times New Roman" w:eastAsia="Times New Roman" w:hAnsi="Times New Roman" w:cs="Times New Roman"/>
          <w:sz w:val="24"/>
          <w:szCs w:val="24"/>
          <w:lang w:val="en-GB"/>
        </w:rPr>
        <w:t xml:space="preserve">be </w:t>
      </w:r>
      <w:r w:rsidR="0064659B" w:rsidRPr="008210C1">
        <w:rPr>
          <w:rFonts w:ascii="Times New Roman" w:eastAsia="Times New Roman" w:hAnsi="Times New Roman" w:cs="Times New Roman"/>
          <w:sz w:val="24"/>
          <w:szCs w:val="24"/>
          <w:lang w:val="en-GB"/>
        </w:rPr>
        <w:t>profit</w:t>
      </w:r>
      <w:r w:rsidR="00C70410" w:rsidRPr="008210C1">
        <w:rPr>
          <w:rFonts w:ascii="Times New Roman" w:eastAsia="Times New Roman" w:hAnsi="Times New Roman" w:cs="Times New Roman"/>
          <w:sz w:val="24"/>
          <w:szCs w:val="24"/>
          <w:lang w:val="en-GB"/>
        </w:rPr>
        <w:t>able</w:t>
      </w:r>
      <w:r w:rsidRPr="008210C1">
        <w:rPr>
          <w:rFonts w:ascii="Times New Roman" w:eastAsia="Times New Roman" w:hAnsi="Times New Roman" w:cs="Times New Roman"/>
          <w:sz w:val="24"/>
          <w:szCs w:val="24"/>
          <w:lang w:val="en-GB"/>
        </w:rPr>
        <w:t xml:space="preserve"> or not. If there is uncertainty, entrepreneurs do not know the results of their decisions so they can only expect some outcome. </w:t>
      </w:r>
      <w:r w:rsidR="00902D4F" w:rsidRPr="008210C1">
        <w:rPr>
          <w:rFonts w:ascii="Times New Roman" w:eastAsia="Times New Roman" w:hAnsi="Times New Roman" w:cs="Times New Roman"/>
          <w:sz w:val="24"/>
          <w:szCs w:val="24"/>
          <w:lang w:val="en-GB"/>
        </w:rPr>
        <w:t>In what do the entrepreneurs’ expectations rely on? In several instances, some more or less known</w:t>
      </w:r>
      <w:r w:rsidR="00B25008" w:rsidRPr="008210C1">
        <w:rPr>
          <w:rFonts w:ascii="Times New Roman" w:eastAsia="Times New Roman" w:hAnsi="Times New Roman" w:cs="Times New Roman"/>
          <w:sz w:val="24"/>
          <w:szCs w:val="24"/>
          <w:lang w:val="en-GB"/>
        </w:rPr>
        <w:t>,</w:t>
      </w:r>
      <w:r w:rsidR="00902D4F" w:rsidRPr="008210C1">
        <w:rPr>
          <w:rFonts w:ascii="Times New Roman" w:eastAsia="Times New Roman" w:hAnsi="Times New Roman" w:cs="Times New Roman"/>
          <w:sz w:val="24"/>
          <w:szCs w:val="24"/>
          <w:lang w:val="en-GB"/>
        </w:rPr>
        <w:t xml:space="preserve"> and some only suppose</w:t>
      </w:r>
      <w:r w:rsidR="00B25008" w:rsidRPr="008210C1">
        <w:rPr>
          <w:rFonts w:ascii="Times New Roman" w:eastAsia="Times New Roman" w:hAnsi="Times New Roman" w:cs="Times New Roman"/>
          <w:sz w:val="24"/>
          <w:szCs w:val="24"/>
          <w:lang w:val="en-GB"/>
        </w:rPr>
        <w:t>d</w:t>
      </w:r>
      <w:r w:rsidR="00902D4F" w:rsidRPr="008210C1">
        <w:rPr>
          <w:rFonts w:ascii="Times New Roman" w:eastAsia="Times New Roman" w:hAnsi="Times New Roman" w:cs="Times New Roman"/>
          <w:sz w:val="24"/>
          <w:szCs w:val="24"/>
          <w:lang w:val="en-GB"/>
        </w:rPr>
        <w:t xml:space="preserve"> with </w:t>
      </w:r>
      <w:proofErr w:type="gramStart"/>
      <w:r w:rsidR="00902D4F" w:rsidRPr="008210C1">
        <w:rPr>
          <w:rFonts w:ascii="Times New Roman" w:eastAsia="Times New Roman" w:hAnsi="Times New Roman" w:cs="Times New Roman"/>
          <w:sz w:val="24"/>
          <w:szCs w:val="24"/>
          <w:lang w:val="en-GB"/>
        </w:rPr>
        <w:t>more or less confidence</w:t>
      </w:r>
      <w:proofErr w:type="gramEnd"/>
      <w:r w:rsidR="00902D4F" w:rsidRPr="008210C1">
        <w:rPr>
          <w:rFonts w:ascii="Times New Roman" w:eastAsia="Times New Roman" w:hAnsi="Times New Roman" w:cs="Times New Roman"/>
          <w:sz w:val="24"/>
          <w:szCs w:val="24"/>
          <w:lang w:val="en-GB"/>
        </w:rPr>
        <w:t>. Amongst</w:t>
      </w:r>
      <w:r w:rsidR="00811E5D" w:rsidRPr="008210C1">
        <w:rPr>
          <w:rFonts w:ascii="Times New Roman" w:eastAsia="Times New Roman" w:hAnsi="Times New Roman" w:cs="Times New Roman"/>
          <w:sz w:val="24"/>
          <w:szCs w:val="24"/>
          <w:lang w:val="en-GB"/>
        </w:rPr>
        <w:t xml:space="preserve"> </w:t>
      </w:r>
      <w:r w:rsidR="00902D4F" w:rsidRPr="008210C1">
        <w:rPr>
          <w:rFonts w:ascii="Times New Roman" w:eastAsia="Times New Roman" w:hAnsi="Times New Roman" w:cs="Times New Roman"/>
          <w:sz w:val="24"/>
          <w:szCs w:val="24"/>
          <w:lang w:val="en-GB"/>
        </w:rPr>
        <w:t>th</w:t>
      </w:r>
      <w:r w:rsidR="00C70410" w:rsidRPr="008210C1">
        <w:rPr>
          <w:rFonts w:ascii="Times New Roman" w:eastAsia="Times New Roman" w:hAnsi="Times New Roman" w:cs="Times New Roman"/>
          <w:sz w:val="24"/>
          <w:szCs w:val="24"/>
          <w:lang w:val="en-GB"/>
        </w:rPr>
        <w:t>is information</w:t>
      </w:r>
      <w:r w:rsidR="00B25008" w:rsidRPr="008210C1">
        <w:rPr>
          <w:rFonts w:ascii="Times New Roman" w:eastAsia="Times New Roman" w:hAnsi="Times New Roman" w:cs="Times New Roman"/>
          <w:sz w:val="24"/>
          <w:szCs w:val="24"/>
          <w:lang w:val="en-GB"/>
        </w:rPr>
        <w:t>, there is one special</w:t>
      </w:r>
      <w:r w:rsidR="00902D4F" w:rsidRPr="008210C1">
        <w:rPr>
          <w:rFonts w:ascii="Times New Roman" w:eastAsia="Times New Roman" w:hAnsi="Times New Roman" w:cs="Times New Roman"/>
          <w:sz w:val="24"/>
          <w:szCs w:val="24"/>
          <w:lang w:val="en-GB"/>
        </w:rPr>
        <w:t xml:space="preserve"> to </w:t>
      </w:r>
      <w:r w:rsidR="00B25008" w:rsidRPr="008210C1">
        <w:rPr>
          <w:rFonts w:ascii="Times New Roman" w:eastAsia="Times New Roman" w:hAnsi="Times New Roman" w:cs="Times New Roman"/>
          <w:sz w:val="24"/>
          <w:szCs w:val="24"/>
          <w:lang w:val="en-GB"/>
        </w:rPr>
        <w:t>ground</w:t>
      </w:r>
      <w:r w:rsidR="00902D4F" w:rsidRPr="008210C1">
        <w:rPr>
          <w:rFonts w:ascii="Times New Roman" w:eastAsia="Times New Roman" w:hAnsi="Times New Roman" w:cs="Times New Roman"/>
          <w:sz w:val="24"/>
          <w:szCs w:val="24"/>
          <w:lang w:val="en-GB"/>
        </w:rPr>
        <w:t xml:space="preserve"> expectations: conventions</w:t>
      </w:r>
      <w:r w:rsidR="00B25008" w:rsidRPr="008210C1">
        <w:rPr>
          <w:rFonts w:ascii="Times New Roman" w:eastAsia="Times New Roman" w:hAnsi="Times New Roman" w:cs="Times New Roman"/>
          <w:sz w:val="24"/>
          <w:szCs w:val="24"/>
          <w:lang w:val="en-GB"/>
        </w:rPr>
        <w:t>, i.e</w:t>
      </w:r>
      <w:r w:rsidR="00902D4F" w:rsidRPr="008210C1">
        <w:rPr>
          <w:rFonts w:ascii="Times New Roman" w:eastAsia="Times New Roman" w:hAnsi="Times New Roman" w:cs="Times New Roman"/>
          <w:sz w:val="24"/>
          <w:szCs w:val="24"/>
          <w:lang w:val="en-GB"/>
        </w:rPr>
        <w:t>.</w:t>
      </w:r>
      <w:r w:rsidR="00B25008" w:rsidRPr="008210C1">
        <w:rPr>
          <w:rFonts w:ascii="Times New Roman" w:eastAsia="Times New Roman" w:hAnsi="Times New Roman" w:cs="Times New Roman"/>
          <w:sz w:val="24"/>
          <w:szCs w:val="24"/>
          <w:lang w:val="en-GB"/>
        </w:rPr>
        <w:t>,</w:t>
      </w:r>
      <w:r w:rsidR="00902D4F" w:rsidRPr="008210C1">
        <w:rPr>
          <w:rFonts w:ascii="Times New Roman" w:eastAsia="Times New Roman" w:hAnsi="Times New Roman" w:cs="Times New Roman"/>
          <w:sz w:val="24"/>
          <w:szCs w:val="24"/>
          <w:lang w:val="en-GB"/>
        </w:rPr>
        <w:t xml:space="preserve"> a public shared belief. </w:t>
      </w:r>
    </w:p>
    <w:p w:rsidR="00F27926" w:rsidRPr="008210C1" w:rsidRDefault="007B1C13" w:rsidP="008210C1">
      <w:pPr>
        <w:spacing w:after="0" w:line="240" w:lineRule="auto"/>
        <w:ind w:firstLine="709"/>
        <w:jc w:val="both"/>
        <w:rPr>
          <w:rFonts w:ascii="Times New Roman" w:eastAsia="Times New Roman" w:hAnsi="Times New Roman" w:cs="Times New Roman"/>
          <w:sz w:val="24"/>
          <w:szCs w:val="24"/>
          <w:lang w:val="en-GB"/>
        </w:rPr>
      </w:pPr>
      <w:r w:rsidRPr="008210C1">
        <w:rPr>
          <w:rFonts w:ascii="Times New Roman" w:eastAsia="Times New Roman" w:hAnsi="Times New Roman" w:cs="Times New Roman"/>
          <w:sz w:val="24"/>
          <w:szCs w:val="24"/>
          <w:lang w:val="en-GB"/>
        </w:rPr>
        <w:t xml:space="preserve">Considering this, Keynes (1973, 1980, </w:t>
      </w:r>
      <w:r w:rsidR="00EE4404" w:rsidRPr="008210C1">
        <w:rPr>
          <w:rFonts w:ascii="Times New Roman" w:eastAsia="Times New Roman" w:hAnsi="Times New Roman" w:cs="Times New Roman"/>
          <w:sz w:val="24"/>
          <w:szCs w:val="24"/>
          <w:lang w:val="en-GB"/>
        </w:rPr>
        <w:t xml:space="preserve">and </w:t>
      </w:r>
      <w:r w:rsidRPr="008210C1">
        <w:rPr>
          <w:rFonts w:ascii="Times New Roman" w:eastAsia="Times New Roman" w:hAnsi="Times New Roman" w:cs="Times New Roman"/>
          <w:sz w:val="24"/>
          <w:szCs w:val="24"/>
          <w:lang w:val="en-GB"/>
        </w:rPr>
        <w:t>1982) and the Post Keynesians (</w:t>
      </w:r>
      <w:proofErr w:type="spellStart"/>
      <w:r w:rsidRPr="008210C1">
        <w:rPr>
          <w:rFonts w:ascii="Times New Roman" w:eastAsia="Times New Roman" w:hAnsi="Times New Roman" w:cs="Times New Roman"/>
          <w:sz w:val="24"/>
          <w:szCs w:val="24"/>
          <w:lang w:val="en-GB"/>
        </w:rPr>
        <w:t>Arestis</w:t>
      </w:r>
      <w:proofErr w:type="spellEnd"/>
      <w:r w:rsidRPr="008210C1">
        <w:rPr>
          <w:rFonts w:ascii="Times New Roman" w:eastAsia="Times New Roman" w:hAnsi="Times New Roman" w:cs="Times New Roman"/>
          <w:sz w:val="24"/>
          <w:szCs w:val="24"/>
          <w:lang w:val="en-GB"/>
        </w:rPr>
        <w:t xml:space="preserve"> et al., 2016) offer theoretical models capable of analysing what has gone wrong with Brazil</w:t>
      </w:r>
      <w:r w:rsidR="00DE14FD" w:rsidRPr="008210C1">
        <w:rPr>
          <w:rFonts w:ascii="Times New Roman" w:eastAsia="Times New Roman" w:hAnsi="Times New Roman" w:cs="Times New Roman"/>
          <w:sz w:val="24"/>
          <w:szCs w:val="24"/>
          <w:lang w:val="en-GB"/>
        </w:rPr>
        <w:t>’s</w:t>
      </w:r>
      <w:r w:rsidR="00A51FC1">
        <w:rPr>
          <w:rFonts w:ascii="Times New Roman" w:eastAsia="Times New Roman" w:hAnsi="Times New Roman" w:cs="Times New Roman"/>
          <w:sz w:val="24"/>
          <w:szCs w:val="24"/>
          <w:lang w:val="en-GB"/>
        </w:rPr>
        <w:t xml:space="preserve"> economy, which </w:t>
      </w:r>
      <w:r w:rsidR="00916B4F" w:rsidRPr="008210C1">
        <w:rPr>
          <w:rFonts w:ascii="Times New Roman" w:eastAsia="Times New Roman" w:hAnsi="Times New Roman" w:cs="Times New Roman"/>
          <w:sz w:val="24"/>
          <w:szCs w:val="24"/>
          <w:lang w:val="en-GB"/>
        </w:rPr>
        <w:t xml:space="preserve">went </w:t>
      </w:r>
      <w:r w:rsidRPr="008210C1">
        <w:rPr>
          <w:rFonts w:ascii="Times New Roman" w:eastAsia="Times New Roman" w:hAnsi="Times New Roman" w:cs="Times New Roman"/>
          <w:sz w:val="24"/>
          <w:szCs w:val="24"/>
          <w:lang w:val="en-GB"/>
        </w:rPr>
        <w:t xml:space="preserve">through two different periods since 2003. </w:t>
      </w:r>
      <w:r w:rsidR="00CB2E6B" w:rsidRPr="008210C1">
        <w:rPr>
          <w:rFonts w:ascii="Times New Roman" w:eastAsia="Times New Roman" w:hAnsi="Times New Roman" w:cs="Times New Roman"/>
          <w:sz w:val="24"/>
          <w:szCs w:val="24"/>
          <w:lang w:val="en-GB"/>
        </w:rPr>
        <w:t xml:space="preserve">From 2003 to 2010, </w:t>
      </w:r>
      <w:r w:rsidR="006F4647" w:rsidRPr="008210C1">
        <w:rPr>
          <w:rFonts w:ascii="Times New Roman" w:eastAsia="Times New Roman" w:hAnsi="Times New Roman" w:cs="Times New Roman"/>
          <w:sz w:val="24"/>
          <w:szCs w:val="24"/>
          <w:lang w:val="en-GB"/>
        </w:rPr>
        <w:t>it</w:t>
      </w:r>
      <w:r w:rsidR="00CB2E6B" w:rsidRPr="008210C1">
        <w:rPr>
          <w:rFonts w:ascii="Times New Roman" w:eastAsia="Times New Roman" w:hAnsi="Times New Roman" w:cs="Times New Roman"/>
          <w:sz w:val="24"/>
          <w:szCs w:val="24"/>
          <w:lang w:val="en-GB"/>
        </w:rPr>
        <w:t xml:space="preserve"> experi</w:t>
      </w:r>
      <w:r w:rsidR="00625E1C" w:rsidRPr="008210C1">
        <w:rPr>
          <w:rFonts w:ascii="Times New Roman" w:eastAsia="Times New Roman" w:hAnsi="Times New Roman" w:cs="Times New Roman"/>
          <w:sz w:val="24"/>
          <w:szCs w:val="24"/>
          <w:lang w:val="en-GB"/>
        </w:rPr>
        <w:t xml:space="preserve">enced </w:t>
      </w:r>
      <w:r w:rsidR="00CB2E6B" w:rsidRPr="008210C1">
        <w:rPr>
          <w:rFonts w:ascii="Times New Roman" w:eastAsia="Times New Roman" w:hAnsi="Times New Roman" w:cs="Times New Roman"/>
          <w:sz w:val="24"/>
          <w:szCs w:val="24"/>
          <w:lang w:val="en-GB"/>
        </w:rPr>
        <w:t>growth</w:t>
      </w:r>
      <w:r w:rsidR="00490F92" w:rsidRPr="008210C1">
        <w:rPr>
          <w:rFonts w:ascii="Times New Roman" w:eastAsia="Times New Roman" w:hAnsi="Times New Roman" w:cs="Times New Roman"/>
          <w:sz w:val="24"/>
          <w:szCs w:val="24"/>
          <w:lang w:val="en-GB"/>
        </w:rPr>
        <w:t xml:space="preserve">, though it decreased </w:t>
      </w:r>
      <w:r w:rsidR="00916B4F" w:rsidRPr="008210C1">
        <w:rPr>
          <w:rFonts w:ascii="Times New Roman" w:eastAsia="Times New Roman" w:hAnsi="Times New Roman" w:cs="Times New Roman"/>
          <w:sz w:val="24"/>
          <w:szCs w:val="24"/>
          <w:lang w:val="en-GB"/>
        </w:rPr>
        <w:t xml:space="preserve">by </w:t>
      </w:r>
      <w:r w:rsidR="00CE3C94" w:rsidRPr="008210C1">
        <w:rPr>
          <w:rFonts w:ascii="Times New Roman" w:eastAsia="Times New Roman" w:hAnsi="Times New Roman" w:cs="Times New Roman"/>
          <w:sz w:val="24"/>
          <w:szCs w:val="24"/>
          <w:lang w:val="en-GB"/>
        </w:rPr>
        <w:t>0.2% in 2009</w:t>
      </w:r>
      <w:r w:rsidR="00916B4F" w:rsidRPr="008210C1">
        <w:rPr>
          <w:rFonts w:ascii="Times New Roman" w:eastAsia="Times New Roman" w:hAnsi="Times New Roman" w:cs="Times New Roman"/>
          <w:sz w:val="24"/>
          <w:szCs w:val="24"/>
          <w:lang w:val="en-GB"/>
        </w:rPr>
        <w:t>,</w:t>
      </w:r>
      <w:r w:rsidR="00CE3C94" w:rsidRPr="008210C1">
        <w:rPr>
          <w:rFonts w:ascii="Times New Roman" w:eastAsia="Times New Roman" w:hAnsi="Times New Roman" w:cs="Times New Roman"/>
          <w:sz w:val="24"/>
          <w:szCs w:val="24"/>
          <w:lang w:val="en-GB"/>
        </w:rPr>
        <w:t xml:space="preserve"> due to the Global Financial Crisis. O</w:t>
      </w:r>
      <w:r w:rsidR="00CB2E6B" w:rsidRPr="008210C1">
        <w:rPr>
          <w:rFonts w:ascii="Times New Roman" w:eastAsia="Times New Roman" w:hAnsi="Times New Roman" w:cs="Times New Roman"/>
          <w:sz w:val="24"/>
          <w:szCs w:val="24"/>
          <w:lang w:val="en-GB"/>
        </w:rPr>
        <w:t xml:space="preserve">ver 2011-2016 </w:t>
      </w:r>
      <w:r w:rsidR="002616B9" w:rsidRPr="008210C1">
        <w:rPr>
          <w:rFonts w:ascii="Times New Roman" w:eastAsia="Times New Roman" w:hAnsi="Times New Roman" w:cs="Times New Roman"/>
          <w:sz w:val="24"/>
          <w:szCs w:val="24"/>
          <w:lang w:val="en-GB"/>
        </w:rPr>
        <w:t xml:space="preserve">Brazil </w:t>
      </w:r>
      <w:r w:rsidR="00CB2E6B" w:rsidRPr="008210C1">
        <w:rPr>
          <w:rFonts w:ascii="Times New Roman" w:eastAsia="Times New Roman" w:hAnsi="Times New Roman" w:cs="Times New Roman"/>
          <w:sz w:val="24"/>
          <w:szCs w:val="24"/>
          <w:lang w:val="en-GB"/>
        </w:rPr>
        <w:t>first showed sign</w:t>
      </w:r>
      <w:r w:rsidR="00625E1C" w:rsidRPr="008210C1">
        <w:rPr>
          <w:rFonts w:ascii="Times New Roman" w:eastAsia="Times New Roman" w:hAnsi="Times New Roman" w:cs="Times New Roman"/>
          <w:sz w:val="24"/>
          <w:szCs w:val="24"/>
          <w:lang w:val="en-GB"/>
        </w:rPr>
        <w:t xml:space="preserve">s </w:t>
      </w:r>
      <w:r w:rsidR="00CB2E6B" w:rsidRPr="008210C1">
        <w:rPr>
          <w:rFonts w:ascii="Times New Roman" w:eastAsia="Times New Roman" w:hAnsi="Times New Roman" w:cs="Times New Roman"/>
          <w:sz w:val="24"/>
          <w:szCs w:val="24"/>
          <w:lang w:val="en-GB"/>
        </w:rPr>
        <w:t xml:space="preserve">of </w:t>
      </w:r>
      <w:r w:rsidR="006F4647" w:rsidRPr="008210C1">
        <w:rPr>
          <w:rFonts w:ascii="Times New Roman" w:eastAsia="Times New Roman" w:hAnsi="Times New Roman" w:cs="Times New Roman"/>
          <w:sz w:val="24"/>
          <w:szCs w:val="24"/>
          <w:lang w:val="en-GB"/>
        </w:rPr>
        <w:t xml:space="preserve">stagnation up to </w:t>
      </w:r>
      <w:r w:rsidR="007970D4" w:rsidRPr="008210C1">
        <w:rPr>
          <w:rFonts w:ascii="Times New Roman" w:eastAsia="Times New Roman" w:hAnsi="Times New Roman" w:cs="Times New Roman"/>
          <w:sz w:val="24"/>
          <w:szCs w:val="24"/>
          <w:lang w:val="en-GB"/>
        </w:rPr>
        <w:t>2014,</w:t>
      </w:r>
      <w:r w:rsidR="00CB2E6B" w:rsidRPr="008210C1">
        <w:rPr>
          <w:rFonts w:ascii="Times New Roman" w:eastAsia="Times New Roman" w:hAnsi="Times New Roman" w:cs="Times New Roman"/>
          <w:sz w:val="24"/>
          <w:szCs w:val="24"/>
          <w:lang w:val="en-GB"/>
        </w:rPr>
        <w:t xml:space="preserve"> and then </w:t>
      </w:r>
      <w:r w:rsidR="006F4647" w:rsidRPr="008210C1">
        <w:rPr>
          <w:rFonts w:ascii="Times New Roman" w:eastAsia="Times New Roman" w:hAnsi="Times New Roman" w:cs="Times New Roman"/>
          <w:sz w:val="24"/>
          <w:szCs w:val="24"/>
          <w:lang w:val="en-GB"/>
        </w:rPr>
        <w:t>went</w:t>
      </w:r>
      <w:r w:rsidR="00CB2E6B" w:rsidRPr="008210C1">
        <w:rPr>
          <w:rFonts w:ascii="Times New Roman" w:eastAsia="Times New Roman" w:hAnsi="Times New Roman" w:cs="Times New Roman"/>
          <w:sz w:val="24"/>
          <w:szCs w:val="24"/>
          <w:lang w:val="en-GB"/>
        </w:rPr>
        <w:t xml:space="preserve"> in</w:t>
      </w:r>
      <w:r w:rsidR="006F4647" w:rsidRPr="008210C1">
        <w:rPr>
          <w:rFonts w:ascii="Times New Roman" w:eastAsia="Times New Roman" w:hAnsi="Times New Roman" w:cs="Times New Roman"/>
          <w:sz w:val="24"/>
          <w:szCs w:val="24"/>
          <w:lang w:val="en-GB"/>
        </w:rPr>
        <w:t>to its</w:t>
      </w:r>
      <w:r w:rsidR="00CB2E6B" w:rsidRPr="008210C1">
        <w:rPr>
          <w:rFonts w:ascii="Times New Roman" w:eastAsia="Times New Roman" w:hAnsi="Times New Roman" w:cs="Times New Roman"/>
          <w:sz w:val="24"/>
          <w:szCs w:val="24"/>
          <w:lang w:val="en-GB"/>
        </w:rPr>
        <w:t xml:space="preserve"> worst recession</w:t>
      </w:r>
      <w:r w:rsidRPr="008210C1">
        <w:rPr>
          <w:rFonts w:ascii="Times New Roman" w:eastAsia="Times New Roman" w:hAnsi="Times New Roman" w:cs="Times New Roman"/>
          <w:sz w:val="24"/>
          <w:szCs w:val="24"/>
          <w:lang w:val="en-GB"/>
        </w:rPr>
        <w:t xml:space="preserve"> ever</w:t>
      </w:r>
      <w:r w:rsidR="006F4647" w:rsidRPr="008210C1">
        <w:rPr>
          <w:rFonts w:ascii="Times New Roman" w:eastAsia="Times New Roman" w:hAnsi="Times New Roman" w:cs="Times New Roman"/>
          <w:sz w:val="24"/>
          <w:szCs w:val="24"/>
          <w:lang w:val="en-GB"/>
        </w:rPr>
        <w:t>,</w:t>
      </w:r>
      <w:r w:rsidR="00CB2E6B" w:rsidRPr="008210C1">
        <w:rPr>
          <w:rFonts w:ascii="Times New Roman" w:eastAsia="Times New Roman" w:hAnsi="Times New Roman" w:cs="Times New Roman"/>
          <w:sz w:val="24"/>
          <w:szCs w:val="24"/>
          <w:lang w:val="en-GB"/>
        </w:rPr>
        <w:t xml:space="preserve"> </w:t>
      </w:r>
      <w:r w:rsidR="007970D4" w:rsidRPr="008210C1">
        <w:rPr>
          <w:rFonts w:ascii="Times New Roman" w:eastAsia="Times New Roman" w:hAnsi="Times New Roman" w:cs="Times New Roman"/>
          <w:sz w:val="24"/>
          <w:szCs w:val="24"/>
          <w:lang w:val="en-GB"/>
        </w:rPr>
        <w:t>2015</w:t>
      </w:r>
      <w:r w:rsidR="005F04ED" w:rsidRPr="008210C1">
        <w:rPr>
          <w:rFonts w:ascii="Times New Roman" w:eastAsia="Times New Roman" w:hAnsi="Times New Roman" w:cs="Times New Roman"/>
          <w:sz w:val="24"/>
          <w:szCs w:val="24"/>
          <w:lang w:val="en-GB"/>
        </w:rPr>
        <w:t>-</w:t>
      </w:r>
      <w:r w:rsidR="007970D4" w:rsidRPr="008210C1">
        <w:rPr>
          <w:rFonts w:ascii="Times New Roman" w:eastAsia="Times New Roman" w:hAnsi="Times New Roman" w:cs="Times New Roman"/>
          <w:sz w:val="24"/>
          <w:szCs w:val="24"/>
          <w:lang w:val="en-GB"/>
        </w:rPr>
        <w:t>2016</w:t>
      </w:r>
      <w:r w:rsidR="00CB2E6B" w:rsidRPr="008210C1">
        <w:rPr>
          <w:rFonts w:ascii="Times New Roman" w:eastAsia="Times New Roman" w:hAnsi="Times New Roman" w:cs="Times New Roman"/>
          <w:sz w:val="24"/>
          <w:szCs w:val="24"/>
          <w:lang w:val="en-GB"/>
        </w:rPr>
        <w:t>.</w:t>
      </w:r>
      <w:r w:rsidR="007970D4" w:rsidRPr="008210C1">
        <w:rPr>
          <w:rFonts w:ascii="Times New Roman" w:eastAsia="Times New Roman" w:hAnsi="Times New Roman" w:cs="Times New Roman"/>
          <w:sz w:val="24"/>
          <w:szCs w:val="24"/>
          <w:lang w:val="en-GB"/>
        </w:rPr>
        <w:t xml:space="preserve"> </w:t>
      </w:r>
      <w:r w:rsidR="001B3A10" w:rsidRPr="008210C1">
        <w:rPr>
          <w:rFonts w:ascii="Times New Roman" w:eastAsia="Times New Roman" w:hAnsi="Times New Roman" w:cs="Times New Roman"/>
          <w:sz w:val="24"/>
          <w:szCs w:val="24"/>
          <w:lang w:val="en-GB"/>
        </w:rPr>
        <w:t>Thus</w:t>
      </w:r>
      <w:r w:rsidR="007970D4" w:rsidRPr="008210C1">
        <w:rPr>
          <w:rFonts w:ascii="Times New Roman" w:eastAsia="Times New Roman" w:hAnsi="Times New Roman" w:cs="Times New Roman"/>
          <w:sz w:val="24"/>
          <w:szCs w:val="24"/>
          <w:lang w:val="en-GB"/>
        </w:rPr>
        <w:t>, this chapter aims at analysing, based on the Keynesian notion of conventions, what has gone wrong with the Brazilian economy</w:t>
      </w:r>
      <w:r w:rsidR="001378CD" w:rsidRPr="008210C1">
        <w:rPr>
          <w:rFonts w:ascii="Times New Roman" w:eastAsia="Times New Roman" w:hAnsi="Times New Roman" w:cs="Times New Roman"/>
          <w:sz w:val="24"/>
          <w:szCs w:val="24"/>
          <w:lang w:val="en-GB"/>
        </w:rPr>
        <w:t xml:space="preserve"> after </w:t>
      </w:r>
      <w:r w:rsidRPr="008210C1">
        <w:rPr>
          <w:rFonts w:ascii="Times New Roman" w:eastAsia="Times New Roman" w:hAnsi="Times New Roman" w:cs="Times New Roman"/>
          <w:sz w:val="24"/>
          <w:szCs w:val="24"/>
          <w:lang w:val="en-GB"/>
        </w:rPr>
        <w:t>2011</w:t>
      </w:r>
      <w:r w:rsidR="007970D4" w:rsidRPr="008210C1">
        <w:rPr>
          <w:rFonts w:ascii="Times New Roman" w:eastAsia="Times New Roman" w:hAnsi="Times New Roman" w:cs="Times New Roman"/>
          <w:sz w:val="24"/>
          <w:szCs w:val="24"/>
          <w:lang w:val="en-GB"/>
        </w:rPr>
        <w:t>. Specifically, we investigate</w:t>
      </w:r>
      <w:r w:rsidR="0069578C" w:rsidRPr="008210C1">
        <w:rPr>
          <w:rFonts w:ascii="Times New Roman" w:eastAsia="Times New Roman" w:hAnsi="Times New Roman" w:cs="Times New Roman"/>
          <w:sz w:val="24"/>
          <w:szCs w:val="24"/>
          <w:lang w:val="en-GB"/>
        </w:rPr>
        <w:t xml:space="preserve"> </w:t>
      </w:r>
      <w:r w:rsidR="007970D4" w:rsidRPr="008210C1">
        <w:rPr>
          <w:rFonts w:ascii="Times New Roman" w:eastAsia="Times New Roman" w:hAnsi="Times New Roman" w:cs="Times New Roman"/>
          <w:sz w:val="24"/>
          <w:szCs w:val="24"/>
          <w:lang w:val="en-GB"/>
        </w:rPr>
        <w:t>what were the problems of both the economic policies</w:t>
      </w:r>
      <w:r w:rsidR="00FB7871" w:rsidRPr="008210C1">
        <w:rPr>
          <w:rFonts w:ascii="Times New Roman" w:eastAsia="Times New Roman" w:hAnsi="Times New Roman" w:cs="Times New Roman"/>
          <w:sz w:val="24"/>
          <w:szCs w:val="24"/>
          <w:lang w:val="en-GB"/>
        </w:rPr>
        <w:t xml:space="preserve"> </w:t>
      </w:r>
      <w:r w:rsidR="007970D4" w:rsidRPr="008210C1">
        <w:rPr>
          <w:rFonts w:ascii="Times New Roman" w:eastAsia="Times New Roman" w:hAnsi="Times New Roman" w:cs="Times New Roman"/>
          <w:sz w:val="24"/>
          <w:szCs w:val="24"/>
          <w:lang w:val="en-GB"/>
        </w:rPr>
        <w:t xml:space="preserve">and the overall institutional </w:t>
      </w:r>
      <w:r w:rsidR="006F4647" w:rsidRPr="008210C1">
        <w:rPr>
          <w:rFonts w:ascii="Times New Roman" w:eastAsia="Times New Roman" w:hAnsi="Times New Roman" w:cs="Times New Roman"/>
          <w:sz w:val="24"/>
          <w:szCs w:val="24"/>
          <w:lang w:val="en-GB"/>
        </w:rPr>
        <w:t>environment</w:t>
      </w:r>
      <w:r w:rsidR="007970D4" w:rsidRPr="008210C1">
        <w:rPr>
          <w:rFonts w:ascii="Times New Roman" w:eastAsia="Times New Roman" w:hAnsi="Times New Roman" w:cs="Times New Roman"/>
          <w:sz w:val="24"/>
          <w:szCs w:val="24"/>
          <w:lang w:val="en-GB"/>
        </w:rPr>
        <w:t xml:space="preserve"> the </w:t>
      </w:r>
      <w:r w:rsidR="001F5B58" w:rsidRPr="008210C1">
        <w:rPr>
          <w:rFonts w:ascii="Times New Roman" w:eastAsia="Times New Roman" w:hAnsi="Times New Roman" w:cs="Times New Roman"/>
          <w:sz w:val="24"/>
          <w:szCs w:val="24"/>
          <w:lang w:val="en-GB"/>
        </w:rPr>
        <w:t>government</w:t>
      </w:r>
      <w:r w:rsidR="007970D4" w:rsidRPr="008210C1">
        <w:rPr>
          <w:rFonts w:ascii="Times New Roman" w:eastAsia="Times New Roman" w:hAnsi="Times New Roman" w:cs="Times New Roman"/>
          <w:sz w:val="24"/>
          <w:szCs w:val="24"/>
          <w:lang w:val="en-GB"/>
        </w:rPr>
        <w:t>s of the period fram</w:t>
      </w:r>
      <w:r w:rsidR="008F5B8C" w:rsidRPr="008210C1">
        <w:rPr>
          <w:rFonts w:ascii="Times New Roman" w:eastAsia="Times New Roman" w:hAnsi="Times New Roman" w:cs="Times New Roman"/>
          <w:sz w:val="24"/>
          <w:szCs w:val="24"/>
          <w:lang w:val="en-GB"/>
        </w:rPr>
        <w:t xml:space="preserve">ed, </w:t>
      </w:r>
      <w:r w:rsidR="006F4647" w:rsidRPr="008210C1">
        <w:rPr>
          <w:rFonts w:ascii="Times New Roman" w:eastAsia="Times New Roman" w:hAnsi="Times New Roman" w:cs="Times New Roman"/>
          <w:sz w:val="24"/>
          <w:szCs w:val="24"/>
          <w:lang w:val="en-GB"/>
        </w:rPr>
        <w:t>to</w:t>
      </w:r>
      <w:r w:rsidR="00FB7871" w:rsidRPr="008210C1">
        <w:rPr>
          <w:rFonts w:ascii="Times New Roman" w:eastAsia="Times New Roman" w:hAnsi="Times New Roman" w:cs="Times New Roman"/>
          <w:sz w:val="24"/>
          <w:szCs w:val="24"/>
          <w:lang w:val="en-GB"/>
        </w:rPr>
        <w:t xml:space="preserve"> </w:t>
      </w:r>
      <w:r w:rsidR="007970D4" w:rsidRPr="008210C1">
        <w:rPr>
          <w:rFonts w:ascii="Times New Roman" w:eastAsia="Times New Roman" w:hAnsi="Times New Roman" w:cs="Times New Roman"/>
          <w:sz w:val="24"/>
          <w:szCs w:val="24"/>
          <w:lang w:val="en-GB"/>
        </w:rPr>
        <w:t>understand how</w:t>
      </w:r>
      <w:r w:rsidR="007E6483" w:rsidRPr="008210C1">
        <w:rPr>
          <w:rFonts w:ascii="Times New Roman" w:eastAsia="Times New Roman" w:hAnsi="Times New Roman" w:cs="Times New Roman"/>
          <w:sz w:val="24"/>
          <w:szCs w:val="24"/>
          <w:lang w:val="en-GB"/>
        </w:rPr>
        <w:t xml:space="preserve"> the Brazilian</w:t>
      </w:r>
      <w:r w:rsidR="007970D4" w:rsidRPr="008210C1">
        <w:rPr>
          <w:rFonts w:ascii="Times New Roman" w:eastAsia="Times New Roman" w:hAnsi="Times New Roman" w:cs="Times New Roman"/>
          <w:sz w:val="24"/>
          <w:szCs w:val="24"/>
          <w:lang w:val="en-GB"/>
        </w:rPr>
        <w:t xml:space="preserve"> </w:t>
      </w:r>
      <w:r w:rsidR="007E6483" w:rsidRPr="008210C1">
        <w:rPr>
          <w:rFonts w:ascii="Times New Roman" w:eastAsia="Times New Roman" w:hAnsi="Times New Roman" w:cs="Times New Roman"/>
          <w:sz w:val="24"/>
          <w:szCs w:val="24"/>
          <w:lang w:val="en-GB"/>
        </w:rPr>
        <w:t>g</w:t>
      </w:r>
      <w:r w:rsidR="006F4647" w:rsidRPr="008210C1">
        <w:rPr>
          <w:rFonts w:ascii="Times New Roman" w:eastAsia="Times New Roman" w:hAnsi="Times New Roman" w:cs="Times New Roman"/>
          <w:sz w:val="24"/>
          <w:szCs w:val="24"/>
          <w:lang w:val="en-GB"/>
        </w:rPr>
        <w:t>overnment</w:t>
      </w:r>
      <w:r w:rsidR="007970D4" w:rsidRPr="008210C1">
        <w:rPr>
          <w:rFonts w:ascii="Times New Roman" w:eastAsia="Times New Roman" w:hAnsi="Times New Roman" w:cs="Times New Roman"/>
          <w:sz w:val="24"/>
          <w:szCs w:val="24"/>
          <w:lang w:val="en-GB"/>
        </w:rPr>
        <w:t xml:space="preserve"> br</w:t>
      </w:r>
      <w:r w:rsidR="006F4647" w:rsidRPr="008210C1">
        <w:rPr>
          <w:rFonts w:ascii="Times New Roman" w:eastAsia="Times New Roman" w:hAnsi="Times New Roman" w:cs="Times New Roman"/>
          <w:sz w:val="24"/>
          <w:szCs w:val="24"/>
          <w:lang w:val="en-GB"/>
        </w:rPr>
        <w:t>ought</w:t>
      </w:r>
      <w:r w:rsidR="007970D4" w:rsidRPr="008210C1">
        <w:rPr>
          <w:rFonts w:ascii="Times New Roman" w:eastAsia="Times New Roman" w:hAnsi="Times New Roman" w:cs="Times New Roman"/>
          <w:sz w:val="24"/>
          <w:szCs w:val="24"/>
          <w:lang w:val="en-GB"/>
        </w:rPr>
        <w:t xml:space="preserve"> about conventions grounding</w:t>
      </w:r>
      <w:r w:rsidR="00811E5D" w:rsidRPr="008210C1">
        <w:rPr>
          <w:rFonts w:ascii="Times New Roman" w:eastAsia="Times New Roman" w:hAnsi="Times New Roman" w:cs="Times New Roman"/>
          <w:sz w:val="24"/>
          <w:szCs w:val="24"/>
          <w:lang w:val="en-GB"/>
        </w:rPr>
        <w:t xml:space="preserve"> </w:t>
      </w:r>
      <w:r w:rsidR="007970D4" w:rsidRPr="008210C1">
        <w:rPr>
          <w:rFonts w:ascii="Times New Roman" w:eastAsia="Times New Roman" w:hAnsi="Times New Roman" w:cs="Times New Roman"/>
          <w:sz w:val="24"/>
          <w:szCs w:val="24"/>
          <w:lang w:val="en-GB"/>
        </w:rPr>
        <w:t xml:space="preserve">expectations </w:t>
      </w:r>
      <w:r w:rsidRPr="008210C1">
        <w:rPr>
          <w:rFonts w:ascii="Times New Roman" w:eastAsia="Times New Roman" w:hAnsi="Times New Roman" w:cs="Times New Roman"/>
          <w:sz w:val="24"/>
          <w:szCs w:val="24"/>
          <w:lang w:val="en-GB"/>
        </w:rPr>
        <w:t xml:space="preserve">that leaded entrepreneurs </w:t>
      </w:r>
      <w:r w:rsidR="007970D4" w:rsidRPr="008210C1">
        <w:rPr>
          <w:rFonts w:ascii="Times New Roman" w:eastAsia="Times New Roman" w:hAnsi="Times New Roman" w:cs="Times New Roman"/>
          <w:sz w:val="24"/>
          <w:szCs w:val="24"/>
          <w:lang w:val="en-GB"/>
        </w:rPr>
        <w:t>to hoard</w:t>
      </w:r>
      <w:r w:rsidR="003F4B56" w:rsidRPr="008210C1">
        <w:rPr>
          <w:rFonts w:ascii="Times New Roman" w:eastAsia="Times New Roman" w:hAnsi="Times New Roman" w:cs="Times New Roman"/>
          <w:sz w:val="24"/>
          <w:szCs w:val="24"/>
          <w:lang w:val="en-GB"/>
        </w:rPr>
        <w:t xml:space="preserve"> </w:t>
      </w:r>
      <w:r w:rsidR="007970D4" w:rsidRPr="008210C1">
        <w:rPr>
          <w:rFonts w:ascii="Times New Roman" w:eastAsia="Times New Roman" w:hAnsi="Times New Roman" w:cs="Times New Roman"/>
          <w:sz w:val="24"/>
          <w:szCs w:val="24"/>
          <w:lang w:val="en-GB"/>
        </w:rPr>
        <w:t>instead of</w:t>
      </w:r>
      <w:r w:rsidR="00811E5D" w:rsidRPr="008210C1">
        <w:rPr>
          <w:rFonts w:ascii="Times New Roman" w:eastAsia="Times New Roman" w:hAnsi="Times New Roman" w:cs="Times New Roman"/>
          <w:sz w:val="24"/>
          <w:szCs w:val="24"/>
          <w:lang w:val="en-GB"/>
        </w:rPr>
        <w:t xml:space="preserve"> </w:t>
      </w:r>
      <w:r w:rsidR="007970D4" w:rsidRPr="008210C1">
        <w:rPr>
          <w:rFonts w:ascii="Times New Roman" w:eastAsia="Times New Roman" w:hAnsi="Times New Roman" w:cs="Times New Roman"/>
          <w:sz w:val="24"/>
          <w:szCs w:val="24"/>
          <w:lang w:val="en-GB"/>
        </w:rPr>
        <w:t>investing.</w:t>
      </w:r>
      <w:r w:rsidR="00811E5D" w:rsidRPr="008210C1">
        <w:rPr>
          <w:rFonts w:ascii="Times New Roman" w:eastAsia="Times New Roman" w:hAnsi="Times New Roman" w:cs="Times New Roman"/>
          <w:sz w:val="24"/>
          <w:szCs w:val="24"/>
          <w:lang w:val="en-GB"/>
        </w:rPr>
        <w:t xml:space="preserve"> </w:t>
      </w:r>
      <w:r w:rsidR="0026031C" w:rsidRPr="008210C1">
        <w:rPr>
          <w:rFonts w:ascii="Times New Roman" w:eastAsia="Times New Roman" w:hAnsi="Times New Roman" w:cs="Times New Roman"/>
          <w:sz w:val="24"/>
          <w:szCs w:val="24"/>
          <w:lang w:val="en-GB"/>
        </w:rPr>
        <w:t>T</w:t>
      </w:r>
      <w:r w:rsidR="00C6590E" w:rsidRPr="008210C1">
        <w:rPr>
          <w:rFonts w:ascii="Times New Roman" w:eastAsia="Times New Roman" w:hAnsi="Times New Roman" w:cs="Times New Roman"/>
          <w:sz w:val="24"/>
          <w:szCs w:val="24"/>
          <w:lang w:val="en-GB"/>
        </w:rPr>
        <w:t xml:space="preserve">his contribution adds to the relevant literature by offering an analysis that </w:t>
      </w:r>
      <w:r w:rsidR="007D3834" w:rsidRPr="008210C1">
        <w:rPr>
          <w:rFonts w:ascii="Times New Roman" w:eastAsia="Times New Roman" w:hAnsi="Times New Roman" w:cs="Times New Roman"/>
          <w:sz w:val="24"/>
          <w:szCs w:val="24"/>
          <w:lang w:val="en-GB"/>
        </w:rPr>
        <w:t xml:space="preserve">focus on the consequences of the State economic action, but spotlighting the role of conventions </w:t>
      </w:r>
      <w:r w:rsidR="006F4647" w:rsidRPr="008210C1">
        <w:rPr>
          <w:rFonts w:ascii="Times New Roman" w:eastAsia="Times New Roman" w:hAnsi="Times New Roman" w:cs="Times New Roman"/>
          <w:sz w:val="24"/>
          <w:szCs w:val="24"/>
          <w:lang w:val="en-GB"/>
        </w:rPr>
        <w:t>on it</w:t>
      </w:r>
      <w:r w:rsidR="007D3834" w:rsidRPr="008210C1">
        <w:rPr>
          <w:rFonts w:ascii="Times New Roman" w:eastAsia="Times New Roman" w:hAnsi="Times New Roman" w:cs="Times New Roman"/>
          <w:sz w:val="24"/>
          <w:szCs w:val="24"/>
          <w:lang w:val="en-GB"/>
        </w:rPr>
        <w:t>.</w:t>
      </w:r>
    </w:p>
    <w:p w:rsidR="00071C35" w:rsidRPr="008210C1" w:rsidRDefault="007D3834" w:rsidP="008210C1">
      <w:pPr>
        <w:spacing w:after="0" w:line="240" w:lineRule="auto"/>
        <w:ind w:firstLine="709"/>
        <w:jc w:val="both"/>
        <w:rPr>
          <w:rFonts w:ascii="Times New Roman" w:eastAsia="Times New Roman" w:hAnsi="Times New Roman" w:cs="Times New Roman"/>
          <w:sz w:val="24"/>
          <w:szCs w:val="24"/>
          <w:lang w:val="en-GB"/>
        </w:rPr>
      </w:pPr>
      <w:r w:rsidRPr="008210C1">
        <w:rPr>
          <w:rFonts w:ascii="Times New Roman" w:eastAsia="Times New Roman" w:hAnsi="Times New Roman" w:cs="Times New Roman"/>
          <w:sz w:val="24"/>
          <w:szCs w:val="24"/>
          <w:lang w:val="en-GB"/>
        </w:rPr>
        <w:t xml:space="preserve">The chapter has </w:t>
      </w:r>
      <w:r w:rsidR="00B30B29" w:rsidRPr="008210C1">
        <w:rPr>
          <w:rFonts w:ascii="Times New Roman" w:eastAsia="Times New Roman" w:hAnsi="Times New Roman" w:cs="Times New Roman"/>
          <w:sz w:val="24"/>
          <w:szCs w:val="24"/>
          <w:lang w:val="en-GB"/>
        </w:rPr>
        <w:t xml:space="preserve">four </w:t>
      </w:r>
      <w:r w:rsidRPr="008210C1">
        <w:rPr>
          <w:rFonts w:ascii="Times New Roman" w:eastAsia="Times New Roman" w:hAnsi="Times New Roman" w:cs="Times New Roman"/>
          <w:sz w:val="24"/>
          <w:szCs w:val="24"/>
          <w:lang w:val="en-GB"/>
        </w:rPr>
        <w:t xml:space="preserve">other sections beyond this introduction. </w:t>
      </w:r>
      <w:r w:rsidR="00422FF6" w:rsidRPr="008210C1">
        <w:rPr>
          <w:rFonts w:ascii="Times New Roman" w:eastAsia="Times New Roman" w:hAnsi="Times New Roman" w:cs="Times New Roman"/>
          <w:sz w:val="24"/>
          <w:szCs w:val="24"/>
          <w:lang w:val="en-GB"/>
        </w:rPr>
        <w:t>S</w:t>
      </w:r>
      <w:r w:rsidRPr="008210C1">
        <w:rPr>
          <w:rFonts w:ascii="Times New Roman" w:eastAsia="Times New Roman" w:hAnsi="Times New Roman" w:cs="Times New Roman"/>
          <w:sz w:val="24"/>
          <w:szCs w:val="24"/>
          <w:lang w:val="en-GB"/>
        </w:rPr>
        <w:t>ection 2</w:t>
      </w:r>
      <w:r w:rsidR="0000263F" w:rsidRPr="008210C1">
        <w:rPr>
          <w:rFonts w:ascii="Times New Roman" w:eastAsia="Times New Roman" w:hAnsi="Times New Roman" w:cs="Times New Roman"/>
          <w:sz w:val="24"/>
          <w:szCs w:val="24"/>
          <w:lang w:val="en-GB"/>
        </w:rPr>
        <w:t xml:space="preserve"> </w:t>
      </w:r>
      <w:r w:rsidRPr="008210C1">
        <w:rPr>
          <w:rFonts w:ascii="Times New Roman" w:eastAsia="Times New Roman" w:hAnsi="Times New Roman" w:cs="Times New Roman"/>
          <w:sz w:val="24"/>
          <w:szCs w:val="24"/>
          <w:lang w:val="en-GB"/>
        </w:rPr>
        <w:t>describes</w:t>
      </w:r>
      <w:r w:rsidR="00527D3E" w:rsidRPr="008210C1">
        <w:rPr>
          <w:rFonts w:ascii="Times New Roman" w:eastAsia="Times New Roman" w:hAnsi="Times New Roman" w:cs="Times New Roman"/>
          <w:sz w:val="24"/>
          <w:szCs w:val="24"/>
          <w:lang w:val="en-GB"/>
        </w:rPr>
        <w:t xml:space="preserve">, </w:t>
      </w:r>
      <w:r w:rsidR="000001EF" w:rsidRPr="008210C1">
        <w:rPr>
          <w:rFonts w:ascii="Times New Roman" w:eastAsia="Times New Roman" w:hAnsi="Times New Roman" w:cs="Times New Roman"/>
          <w:sz w:val="24"/>
          <w:szCs w:val="24"/>
          <w:lang w:val="en-GB"/>
        </w:rPr>
        <w:t>at</w:t>
      </w:r>
      <w:r w:rsidR="00527D3E" w:rsidRPr="008210C1">
        <w:rPr>
          <w:rFonts w:ascii="Times New Roman" w:eastAsia="Times New Roman" w:hAnsi="Times New Roman" w:cs="Times New Roman"/>
          <w:sz w:val="24"/>
          <w:szCs w:val="24"/>
          <w:lang w:val="en-GB"/>
        </w:rPr>
        <w:t xml:space="preserve"> its first </w:t>
      </w:r>
      <w:r w:rsidR="000001EF" w:rsidRPr="008210C1">
        <w:rPr>
          <w:rFonts w:ascii="Times New Roman" w:eastAsia="Times New Roman" w:hAnsi="Times New Roman" w:cs="Times New Roman"/>
          <w:sz w:val="24"/>
          <w:szCs w:val="24"/>
          <w:lang w:val="en-GB"/>
        </w:rPr>
        <w:t>subsection,</w:t>
      </w:r>
      <w:r w:rsidR="00527D3E" w:rsidRPr="008210C1">
        <w:rPr>
          <w:rFonts w:ascii="Times New Roman" w:eastAsia="Times New Roman" w:hAnsi="Times New Roman" w:cs="Times New Roman"/>
          <w:sz w:val="24"/>
          <w:szCs w:val="24"/>
          <w:lang w:val="en-GB"/>
        </w:rPr>
        <w:t xml:space="preserve"> </w:t>
      </w:r>
      <w:r w:rsidR="002E34EE" w:rsidRPr="008210C1">
        <w:rPr>
          <w:rFonts w:ascii="Times New Roman" w:eastAsia="Times New Roman" w:hAnsi="Times New Roman" w:cs="Times New Roman"/>
          <w:sz w:val="24"/>
          <w:szCs w:val="24"/>
          <w:lang w:val="en-GB"/>
        </w:rPr>
        <w:t xml:space="preserve">the </w:t>
      </w:r>
      <w:r w:rsidR="009D0B40" w:rsidRPr="008210C1">
        <w:rPr>
          <w:rFonts w:ascii="Times New Roman" w:eastAsia="Times New Roman" w:hAnsi="Times New Roman" w:cs="Times New Roman"/>
          <w:sz w:val="24"/>
          <w:szCs w:val="24"/>
          <w:lang w:val="en-GB"/>
        </w:rPr>
        <w:t>Post Keynesian</w:t>
      </w:r>
      <w:r w:rsidRPr="008210C1">
        <w:rPr>
          <w:rFonts w:ascii="Times New Roman" w:eastAsia="Times New Roman" w:hAnsi="Times New Roman" w:cs="Times New Roman"/>
          <w:sz w:val="24"/>
          <w:szCs w:val="24"/>
          <w:lang w:val="en-GB"/>
        </w:rPr>
        <w:t xml:space="preserve"> notion of convention</w:t>
      </w:r>
      <w:r w:rsidR="000001EF" w:rsidRPr="008210C1">
        <w:rPr>
          <w:rFonts w:ascii="Times New Roman" w:eastAsia="Times New Roman" w:hAnsi="Times New Roman" w:cs="Times New Roman"/>
          <w:sz w:val="24"/>
          <w:szCs w:val="24"/>
          <w:lang w:val="en-GB"/>
        </w:rPr>
        <w:t xml:space="preserve"> whereas the second subsection</w:t>
      </w:r>
      <w:r w:rsidRPr="008210C1">
        <w:rPr>
          <w:rFonts w:ascii="Times New Roman" w:eastAsia="Times New Roman" w:hAnsi="Times New Roman" w:cs="Times New Roman"/>
          <w:sz w:val="24"/>
          <w:szCs w:val="24"/>
          <w:lang w:val="en-GB"/>
        </w:rPr>
        <w:t xml:space="preserve"> </w:t>
      </w:r>
      <w:r w:rsidR="003F4B56" w:rsidRPr="008210C1">
        <w:rPr>
          <w:rFonts w:ascii="Times New Roman" w:eastAsia="Times New Roman" w:hAnsi="Times New Roman" w:cs="Times New Roman"/>
          <w:sz w:val="24"/>
          <w:szCs w:val="24"/>
          <w:lang w:val="en-GB"/>
        </w:rPr>
        <w:t>discusses</w:t>
      </w:r>
      <w:r w:rsidRPr="008210C1">
        <w:rPr>
          <w:rFonts w:ascii="Times New Roman" w:eastAsia="Times New Roman" w:hAnsi="Times New Roman" w:cs="Times New Roman"/>
          <w:sz w:val="24"/>
          <w:szCs w:val="24"/>
          <w:lang w:val="en-GB"/>
        </w:rPr>
        <w:t xml:space="preserve"> the </w:t>
      </w:r>
      <w:r w:rsidR="000001EF" w:rsidRPr="008210C1">
        <w:rPr>
          <w:rFonts w:ascii="Times New Roman" w:eastAsia="Times New Roman" w:hAnsi="Times New Roman" w:cs="Times New Roman"/>
          <w:sz w:val="24"/>
          <w:szCs w:val="24"/>
          <w:lang w:val="en-GB"/>
        </w:rPr>
        <w:t>role government</w:t>
      </w:r>
      <w:r w:rsidR="008F5B8C" w:rsidRPr="008210C1">
        <w:rPr>
          <w:rFonts w:ascii="Times New Roman" w:eastAsia="Times New Roman" w:hAnsi="Times New Roman" w:cs="Times New Roman"/>
          <w:sz w:val="24"/>
          <w:szCs w:val="24"/>
          <w:lang w:val="en-GB"/>
        </w:rPr>
        <w:t xml:space="preserve"> plays</w:t>
      </w:r>
      <w:r w:rsidR="000001EF" w:rsidRPr="008210C1">
        <w:rPr>
          <w:rFonts w:ascii="Times New Roman" w:eastAsia="Times New Roman" w:hAnsi="Times New Roman" w:cs="Times New Roman"/>
          <w:sz w:val="24"/>
          <w:szCs w:val="24"/>
          <w:lang w:val="en-GB"/>
        </w:rPr>
        <w:t xml:space="preserve"> in framing conventions</w:t>
      </w:r>
      <w:r w:rsidR="00B30B29" w:rsidRPr="008210C1">
        <w:rPr>
          <w:rFonts w:ascii="Times New Roman" w:eastAsia="Times New Roman" w:hAnsi="Times New Roman" w:cs="Times New Roman"/>
          <w:sz w:val="24"/>
          <w:szCs w:val="24"/>
          <w:lang w:val="en-GB"/>
        </w:rPr>
        <w:t xml:space="preserve">. Section 3 presents, </w:t>
      </w:r>
      <w:r w:rsidR="00516334" w:rsidRPr="008210C1">
        <w:rPr>
          <w:rFonts w:ascii="Times New Roman" w:eastAsia="Times New Roman" w:hAnsi="Times New Roman" w:cs="Times New Roman"/>
          <w:sz w:val="24"/>
          <w:szCs w:val="24"/>
          <w:lang w:val="en-GB"/>
        </w:rPr>
        <w:t>markedly based on Keynes’s writings</w:t>
      </w:r>
      <w:r w:rsidR="00B30B29" w:rsidRPr="008210C1">
        <w:rPr>
          <w:rFonts w:ascii="Times New Roman" w:eastAsia="Times New Roman" w:hAnsi="Times New Roman" w:cs="Times New Roman"/>
          <w:sz w:val="24"/>
          <w:szCs w:val="24"/>
          <w:lang w:val="en-GB"/>
        </w:rPr>
        <w:t>,</w:t>
      </w:r>
      <w:r w:rsidR="00516334" w:rsidRPr="008210C1">
        <w:rPr>
          <w:rFonts w:ascii="Times New Roman" w:eastAsia="Times New Roman" w:hAnsi="Times New Roman" w:cs="Times New Roman"/>
          <w:sz w:val="24"/>
          <w:szCs w:val="24"/>
          <w:lang w:val="en-GB"/>
        </w:rPr>
        <w:t xml:space="preserve"> </w:t>
      </w:r>
      <w:r w:rsidR="00B30B29" w:rsidRPr="008210C1">
        <w:rPr>
          <w:rFonts w:ascii="Times New Roman" w:eastAsia="Times New Roman" w:hAnsi="Times New Roman" w:cs="Times New Roman"/>
          <w:sz w:val="24"/>
          <w:szCs w:val="24"/>
          <w:lang w:val="en-GB"/>
        </w:rPr>
        <w:t>the Post Keynesian</w:t>
      </w:r>
      <w:r w:rsidR="000001EF" w:rsidRPr="008210C1">
        <w:rPr>
          <w:rFonts w:ascii="Times New Roman" w:eastAsia="Times New Roman" w:hAnsi="Times New Roman" w:cs="Times New Roman"/>
          <w:sz w:val="24"/>
          <w:szCs w:val="24"/>
          <w:lang w:val="en-GB"/>
        </w:rPr>
        <w:t xml:space="preserve"> </w:t>
      </w:r>
      <w:r w:rsidR="00516334" w:rsidRPr="008210C1">
        <w:rPr>
          <w:rFonts w:ascii="Times New Roman" w:eastAsia="Times New Roman" w:hAnsi="Times New Roman" w:cs="Times New Roman"/>
          <w:sz w:val="24"/>
          <w:szCs w:val="24"/>
          <w:lang w:val="en-GB"/>
        </w:rPr>
        <w:t>macroeconomic polic</w:t>
      </w:r>
      <w:r w:rsidR="00B30B29" w:rsidRPr="008210C1">
        <w:rPr>
          <w:rFonts w:ascii="Times New Roman" w:eastAsia="Times New Roman" w:hAnsi="Times New Roman" w:cs="Times New Roman"/>
          <w:sz w:val="24"/>
          <w:szCs w:val="24"/>
          <w:lang w:val="en-GB"/>
        </w:rPr>
        <w:t>y mix</w:t>
      </w:r>
      <w:r w:rsidR="00516334" w:rsidRPr="008210C1">
        <w:rPr>
          <w:rFonts w:ascii="Times New Roman" w:eastAsia="Times New Roman" w:hAnsi="Times New Roman" w:cs="Times New Roman"/>
          <w:sz w:val="24"/>
          <w:szCs w:val="24"/>
          <w:lang w:val="en-GB"/>
        </w:rPr>
        <w:t xml:space="preserve">, namely exchange rate, monetary and fiscal policies. </w:t>
      </w:r>
      <w:r w:rsidR="007648EB" w:rsidRPr="008210C1">
        <w:rPr>
          <w:rFonts w:ascii="Times New Roman" w:eastAsia="Times New Roman" w:hAnsi="Times New Roman" w:cs="Times New Roman"/>
          <w:sz w:val="24"/>
          <w:szCs w:val="24"/>
          <w:lang w:val="en-GB"/>
        </w:rPr>
        <w:t xml:space="preserve">Then, Section </w:t>
      </w:r>
      <w:r w:rsidR="00F41BF2" w:rsidRPr="008210C1">
        <w:rPr>
          <w:rFonts w:ascii="Times New Roman" w:eastAsia="Times New Roman" w:hAnsi="Times New Roman" w:cs="Times New Roman"/>
          <w:sz w:val="24"/>
          <w:szCs w:val="24"/>
          <w:lang w:val="en-GB"/>
        </w:rPr>
        <w:t xml:space="preserve">4 </w:t>
      </w:r>
      <w:r w:rsidR="00544123" w:rsidRPr="008210C1">
        <w:rPr>
          <w:rFonts w:ascii="Times New Roman" w:eastAsia="Times New Roman" w:hAnsi="Times New Roman" w:cs="Times New Roman"/>
          <w:sz w:val="24"/>
          <w:szCs w:val="24"/>
          <w:lang w:val="en-GB"/>
        </w:rPr>
        <w:t>analyses</w:t>
      </w:r>
      <w:r w:rsidR="007648EB" w:rsidRPr="008210C1">
        <w:rPr>
          <w:rFonts w:ascii="Times New Roman" w:eastAsia="Times New Roman" w:hAnsi="Times New Roman" w:cs="Times New Roman"/>
          <w:sz w:val="24"/>
          <w:szCs w:val="24"/>
          <w:lang w:val="en-GB"/>
        </w:rPr>
        <w:t xml:space="preserve"> what has happened to the Brazilian economy over 20</w:t>
      </w:r>
      <w:r w:rsidR="00F23C09" w:rsidRPr="008210C1">
        <w:rPr>
          <w:rFonts w:ascii="Times New Roman" w:eastAsia="Times New Roman" w:hAnsi="Times New Roman" w:cs="Times New Roman"/>
          <w:sz w:val="24"/>
          <w:szCs w:val="24"/>
          <w:lang w:val="en-GB"/>
        </w:rPr>
        <w:t>11</w:t>
      </w:r>
      <w:r w:rsidR="007648EB" w:rsidRPr="008210C1">
        <w:rPr>
          <w:rFonts w:ascii="Times New Roman" w:eastAsia="Times New Roman" w:hAnsi="Times New Roman" w:cs="Times New Roman"/>
          <w:sz w:val="24"/>
          <w:szCs w:val="24"/>
          <w:lang w:val="en-GB"/>
        </w:rPr>
        <w:t>-2016.</w:t>
      </w:r>
      <w:r w:rsidR="006870E0" w:rsidRPr="008210C1">
        <w:rPr>
          <w:rFonts w:ascii="Times New Roman" w:eastAsia="Times New Roman" w:hAnsi="Times New Roman" w:cs="Times New Roman"/>
          <w:sz w:val="24"/>
          <w:szCs w:val="24"/>
          <w:lang w:val="en-GB"/>
        </w:rPr>
        <w:t xml:space="preserve"> Section </w:t>
      </w:r>
      <w:r w:rsidR="00B30B29" w:rsidRPr="008210C1">
        <w:rPr>
          <w:rFonts w:ascii="Times New Roman" w:eastAsia="Times New Roman" w:hAnsi="Times New Roman" w:cs="Times New Roman"/>
          <w:sz w:val="24"/>
          <w:szCs w:val="24"/>
          <w:lang w:val="en-GB"/>
        </w:rPr>
        <w:t>5</w:t>
      </w:r>
      <w:r w:rsidR="006870E0" w:rsidRPr="008210C1">
        <w:rPr>
          <w:rFonts w:ascii="Times New Roman" w:eastAsia="Times New Roman" w:hAnsi="Times New Roman" w:cs="Times New Roman"/>
          <w:sz w:val="24"/>
          <w:szCs w:val="24"/>
          <w:lang w:val="en-GB"/>
        </w:rPr>
        <w:t xml:space="preserve"> presents the final remarks. </w:t>
      </w:r>
    </w:p>
    <w:p w:rsidR="00F27926" w:rsidRPr="008210C1" w:rsidRDefault="00F27926" w:rsidP="008210C1">
      <w:pPr>
        <w:spacing w:after="0" w:line="240" w:lineRule="auto"/>
        <w:ind w:firstLine="709"/>
        <w:jc w:val="both"/>
        <w:rPr>
          <w:rFonts w:ascii="Times New Roman" w:eastAsia="Times New Roman" w:hAnsi="Times New Roman" w:cs="Times New Roman"/>
          <w:sz w:val="24"/>
          <w:szCs w:val="24"/>
          <w:lang w:val="en-GB"/>
        </w:rPr>
      </w:pPr>
    </w:p>
    <w:p w:rsidR="004F2C9E" w:rsidRPr="008210C1" w:rsidRDefault="00BA0397" w:rsidP="008210C1">
      <w:pPr>
        <w:spacing w:after="0" w:line="240" w:lineRule="auto"/>
        <w:jc w:val="both"/>
        <w:outlineLvl w:val="0"/>
        <w:rPr>
          <w:rFonts w:ascii="Times New Roman" w:eastAsia="Times New Roman" w:hAnsi="Times New Roman" w:cs="Times New Roman"/>
          <w:b/>
          <w:sz w:val="24"/>
          <w:szCs w:val="24"/>
          <w:lang w:val="en-GB"/>
        </w:rPr>
      </w:pPr>
      <w:r w:rsidRPr="008210C1">
        <w:rPr>
          <w:rFonts w:ascii="Times New Roman" w:eastAsia="Times New Roman" w:hAnsi="Times New Roman" w:cs="Times New Roman"/>
          <w:b/>
          <w:sz w:val="24"/>
          <w:szCs w:val="24"/>
          <w:lang w:val="en-GB"/>
        </w:rPr>
        <w:t>2. Conventions</w:t>
      </w:r>
      <w:r w:rsidR="00212135" w:rsidRPr="008210C1">
        <w:rPr>
          <w:rFonts w:ascii="Times New Roman" w:eastAsia="Times New Roman" w:hAnsi="Times New Roman" w:cs="Times New Roman"/>
          <w:b/>
          <w:sz w:val="24"/>
          <w:szCs w:val="24"/>
          <w:lang w:val="en-GB"/>
        </w:rPr>
        <w:t xml:space="preserve"> and the role of government in framing them</w:t>
      </w:r>
    </w:p>
    <w:p w:rsidR="00FA170F" w:rsidRPr="008210C1" w:rsidRDefault="00FA170F" w:rsidP="008210C1">
      <w:pPr>
        <w:spacing w:after="0" w:line="240" w:lineRule="auto"/>
        <w:jc w:val="both"/>
        <w:outlineLvl w:val="0"/>
        <w:rPr>
          <w:rFonts w:ascii="Times New Roman" w:eastAsia="Times New Roman" w:hAnsi="Times New Roman" w:cs="Times New Roman"/>
          <w:b/>
          <w:sz w:val="24"/>
          <w:szCs w:val="24"/>
          <w:lang w:val="en-GB"/>
        </w:rPr>
      </w:pPr>
    </w:p>
    <w:p w:rsidR="00212135" w:rsidRPr="008210C1" w:rsidRDefault="00212135" w:rsidP="008210C1">
      <w:pPr>
        <w:spacing w:after="0" w:line="240" w:lineRule="auto"/>
        <w:jc w:val="both"/>
        <w:outlineLvl w:val="0"/>
        <w:rPr>
          <w:rFonts w:ascii="Times New Roman" w:eastAsia="Times New Roman" w:hAnsi="Times New Roman" w:cs="Times New Roman"/>
          <w:b/>
          <w:i/>
          <w:sz w:val="24"/>
          <w:szCs w:val="24"/>
          <w:lang w:val="en-GB"/>
        </w:rPr>
      </w:pPr>
      <w:r w:rsidRPr="008210C1">
        <w:rPr>
          <w:rFonts w:ascii="Times New Roman" w:eastAsia="Times New Roman" w:hAnsi="Times New Roman" w:cs="Times New Roman"/>
          <w:b/>
          <w:i/>
          <w:sz w:val="24"/>
          <w:szCs w:val="24"/>
          <w:lang w:val="en-GB"/>
        </w:rPr>
        <w:t xml:space="preserve">2.1 The notion of conventions and Post Keynesian developments on the topic </w:t>
      </w:r>
    </w:p>
    <w:p w:rsidR="00552FAE" w:rsidRPr="008210C1" w:rsidRDefault="00FC2E26" w:rsidP="008210C1">
      <w:pPr>
        <w:spacing w:after="0" w:line="240" w:lineRule="auto"/>
        <w:ind w:firstLine="709"/>
        <w:jc w:val="both"/>
        <w:rPr>
          <w:rFonts w:ascii="Times New Roman" w:eastAsia="Times New Roman" w:hAnsi="Times New Roman" w:cs="Times New Roman"/>
          <w:sz w:val="24"/>
          <w:szCs w:val="24"/>
          <w:lang w:val="en-GB"/>
        </w:rPr>
      </w:pPr>
      <w:r w:rsidRPr="008210C1">
        <w:rPr>
          <w:rFonts w:ascii="Times New Roman" w:eastAsia="Times New Roman" w:hAnsi="Times New Roman" w:cs="Times New Roman"/>
          <w:sz w:val="24"/>
          <w:szCs w:val="24"/>
          <w:lang w:val="en-GB"/>
        </w:rPr>
        <w:t>In Keynes’</w:t>
      </w:r>
      <w:r w:rsidR="00552FAE" w:rsidRPr="008210C1">
        <w:rPr>
          <w:rFonts w:ascii="Times New Roman" w:eastAsia="Times New Roman" w:hAnsi="Times New Roman" w:cs="Times New Roman"/>
          <w:sz w:val="24"/>
          <w:szCs w:val="24"/>
          <w:lang w:val="en-GB"/>
        </w:rPr>
        <w:t>s</w:t>
      </w:r>
      <w:r w:rsidRPr="008210C1">
        <w:rPr>
          <w:rFonts w:ascii="Times New Roman" w:eastAsia="Times New Roman" w:hAnsi="Times New Roman" w:cs="Times New Roman"/>
          <w:sz w:val="24"/>
          <w:szCs w:val="24"/>
          <w:lang w:val="en-GB"/>
        </w:rPr>
        <w:t xml:space="preserve"> </w:t>
      </w:r>
      <w:r w:rsidR="006870E0" w:rsidRPr="008210C1">
        <w:rPr>
          <w:rFonts w:ascii="Times New Roman" w:eastAsia="Times New Roman" w:hAnsi="Times New Roman" w:cs="Times New Roman"/>
          <w:sz w:val="24"/>
          <w:szCs w:val="24"/>
          <w:lang w:val="en-GB"/>
        </w:rPr>
        <w:t>(1973</w:t>
      </w:r>
      <w:r w:rsidR="003F4B56" w:rsidRPr="008210C1">
        <w:rPr>
          <w:rFonts w:ascii="Times New Roman" w:eastAsia="Times New Roman" w:hAnsi="Times New Roman" w:cs="Times New Roman"/>
          <w:sz w:val="24"/>
          <w:szCs w:val="24"/>
          <w:lang w:val="en-GB"/>
        </w:rPr>
        <w:t xml:space="preserve">) </w:t>
      </w:r>
      <w:r w:rsidR="00BA0397" w:rsidRPr="008210C1">
        <w:rPr>
          <w:rFonts w:ascii="Times New Roman" w:eastAsia="Times New Roman" w:hAnsi="Times New Roman" w:cs="Times New Roman"/>
          <w:sz w:val="24"/>
          <w:szCs w:val="24"/>
          <w:lang w:val="en-GB"/>
        </w:rPr>
        <w:t>monetary economy</w:t>
      </w:r>
      <w:r w:rsidR="007D3834" w:rsidRPr="008210C1">
        <w:rPr>
          <w:rFonts w:ascii="Times New Roman" w:eastAsia="Times New Roman" w:hAnsi="Times New Roman" w:cs="Times New Roman"/>
          <w:sz w:val="24"/>
          <w:szCs w:val="24"/>
          <w:lang w:val="en-GB"/>
        </w:rPr>
        <w:t>,</w:t>
      </w:r>
      <w:r w:rsidR="00BA0397" w:rsidRPr="008210C1">
        <w:rPr>
          <w:rFonts w:ascii="Times New Roman" w:eastAsia="Times New Roman" w:hAnsi="Times New Roman" w:cs="Times New Roman"/>
          <w:sz w:val="24"/>
          <w:szCs w:val="24"/>
          <w:lang w:val="en-GB"/>
        </w:rPr>
        <w:t xml:space="preserve"> uncertainty is </w:t>
      </w:r>
      <w:r w:rsidR="00552FAE" w:rsidRPr="008210C1">
        <w:rPr>
          <w:rFonts w:ascii="Times New Roman" w:eastAsia="Times New Roman" w:hAnsi="Times New Roman" w:cs="Times New Roman"/>
          <w:sz w:val="24"/>
          <w:szCs w:val="24"/>
          <w:lang w:val="en-GB"/>
        </w:rPr>
        <w:t>crucial</w:t>
      </w:r>
      <w:r w:rsidR="00BA0397" w:rsidRPr="008210C1">
        <w:rPr>
          <w:rFonts w:ascii="Times New Roman" w:eastAsia="Times New Roman" w:hAnsi="Times New Roman" w:cs="Times New Roman"/>
          <w:sz w:val="24"/>
          <w:szCs w:val="24"/>
          <w:lang w:val="en-GB"/>
        </w:rPr>
        <w:t xml:space="preserve">, </w:t>
      </w:r>
      <w:r w:rsidR="003F4B56" w:rsidRPr="008210C1">
        <w:rPr>
          <w:rFonts w:ascii="Times New Roman" w:eastAsia="Times New Roman" w:hAnsi="Times New Roman" w:cs="Times New Roman"/>
          <w:sz w:val="24"/>
          <w:szCs w:val="24"/>
          <w:lang w:val="en-GB"/>
        </w:rPr>
        <w:t>since</w:t>
      </w:r>
      <w:r w:rsidR="00811E5D" w:rsidRPr="008210C1">
        <w:rPr>
          <w:rFonts w:ascii="Times New Roman" w:eastAsia="Times New Roman" w:hAnsi="Times New Roman" w:cs="Times New Roman"/>
          <w:sz w:val="24"/>
          <w:szCs w:val="24"/>
          <w:lang w:val="en-GB"/>
        </w:rPr>
        <w:t xml:space="preserve"> </w:t>
      </w:r>
      <w:r w:rsidR="00AE5D95" w:rsidRPr="008210C1">
        <w:rPr>
          <w:rFonts w:ascii="Times New Roman" w:eastAsia="Times New Roman" w:hAnsi="Times New Roman" w:cs="Times New Roman"/>
          <w:sz w:val="24"/>
          <w:szCs w:val="24"/>
          <w:lang w:val="en-GB"/>
        </w:rPr>
        <w:t xml:space="preserve">agents’ decisions in the present builds the future of the economic system; yet, </w:t>
      </w:r>
      <w:r w:rsidR="00BA0397" w:rsidRPr="008210C1">
        <w:rPr>
          <w:rFonts w:ascii="Times New Roman" w:eastAsia="Times New Roman" w:hAnsi="Times New Roman" w:cs="Times New Roman"/>
          <w:sz w:val="24"/>
          <w:szCs w:val="24"/>
          <w:lang w:val="en-GB"/>
        </w:rPr>
        <w:t xml:space="preserve">the information required </w:t>
      </w:r>
      <w:r w:rsidR="003F4B56" w:rsidRPr="008210C1">
        <w:rPr>
          <w:rFonts w:ascii="Times New Roman" w:eastAsia="Times New Roman" w:hAnsi="Times New Roman" w:cs="Times New Roman"/>
          <w:sz w:val="24"/>
          <w:szCs w:val="24"/>
          <w:lang w:val="en-GB"/>
        </w:rPr>
        <w:t>for</w:t>
      </w:r>
      <w:r w:rsidR="00BA0397" w:rsidRPr="008210C1">
        <w:rPr>
          <w:rFonts w:ascii="Times New Roman" w:eastAsia="Times New Roman" w:hAnsi="Times New Roman" w:cs="Times New Roman"/>
          <w:sz w:val="24"/>
          <w:szCs w:val="24"/>
          <w:lang w:val="en-GB"/>
        </w:rPr>
        <w:t xml:space="preserve"> </w:t>
      </w:r>
      <w:r w:rsidR="008F5B8C" w:rsidRPr="008210C1">
        <w:rPr>
          <w:rFonts w:ascii="Times New Roman" w:eastAsia="Times New Roman" w:hAnsi="Times New Roman" w:cs="Times New Roman"/>
          <w:sz w:val="24"/>
          <w:szCs w:val="24"/>
          <w:lang w:val="en-GB"/>
        </w:rPr>
        <w:t xml:space="preserve">the </w:t>
      </w:r>
      <w:r w:rsidR="00BA0397" w:rsidRPr="008210C1">
        <w:rPr>
          <w:rFonts w:ascii="Times New Roman" w:eastAsia="Times New Roman" w:hAnsi="Times New Roman" w:cs="Times New Roman"/>
          <w:sz w:val="24"/>
          <w:szCs w:val="24"/>
          <w:lang w:val="en-GB"/>
        </w:rPr>
        <w:t xml:space="preserve">decision-making process is only partly available. </w:t>
      </w:r>
      <w:r w:rsidR="008D0EF2" w:rsidRPr="008210C1">
        <w:rPr>
          <w:rFonts w:ascii="Times New Roman" w:eastAsia="Times New Roman" w:hAnsi="Times New Roman" w:cs="Times New Roman"/>
          <w:sz w:val="24"/>
          <w:szCs w:val="24"/>
          <w:lang w:val="en-GB"/>
        </w:rPr>
        <w:t>So</w:t>
      </w:r>
      <w:r w:rsidR="004A5881" w:rsidRPr="008210C1">
        <w:rPr>
          <w:rFonts w:ascii="Times New Roman" w:eastAsia="Times New Roman" w:hAnsi="Times New Roman" w:cs="Times New Roman"/>
          <w:sz w:val="24"/>
          <w:szCs w:val="24"/>
          <w:lang w:val="en-GB"/>
        </w:rPr>
        <w:t>,</w:t>
      </w:r>
      <w:r w:rsidR="00811E5D" w:rsidRPr="008210C1">
        <w:rPr>
          <w:rFonts w:ascii="Times New Roman" w:eastAsia="Times New Roman" w:hAnsi="Times New Roman" w:cs="Times New Roman"/>
          <w:sz w:val="24"/>
          <w:szCs w:val="24"/>
          <w:lang w:val="en-GB"/>
        </w:rPr>
        <w:t xml:space="preserve"> </w:t>
      </w:r>
      <w:r w:rsidR="00BA0397" w:rsidRPr="008210C1">
        <w:rPr>
          <w:rFonts w:ascii="Times New Roman" w:eastAsia="Times New Roman" w:hAnsi="Times New Roman" w:cs="Times New Roman"/>
          <w:sz w:val="24"/>
          <w:szCs w:val="24"/>
          <w:lang w:val="en-GB"/>
        </w:rPr>
        <w:t>future cannot be foretold and</w:t>
      </w:r>
      <w:r w:rsidR="002202F5" w:rsidRPr="008210C1">
        <w:rPr>
          <w:rFonts w:ascii="Times New Roman" w:eastAsia="Times New Roman" w:hAnsi="Times New Roman" w:cs="Times New Roman"/>
          <w:sz w:val="24"/>
          <w:szCs w:val="24"/>
          <w:lang w:val="en-GB"/>
        </w:rPr>
        <w:t>,</w:t>
      </w:r>
      <w:r w:rsidR="00811E5D" w:rsidRPr="008210C1">
        <w:rPr>
          <w:rFonts w:ascii="Times New Roman" w:eastAsia="Times New Roman" w:hAnsi="Times New Roman" w:cs="Times New Roman"/>
          <w:sz w:val="24"/>
          <w:szCs w:val="24"/>
          <w:lang w:val="en-GB"/>
        </w:rPr>
        <w:t xml:space="preserve"> </w:t>
      </w:r>
      <w:r w:rsidR="00BA0397" w:rsidRPr="008210C1">
        <w:rPr>
          <w:rFonts w:ascii="Times New Roman" w:eastAsia="Times New Roman" w:hAnsi="Times New Roman" w:cs="Times New Roman"/>
          <w:sz w:val="24"/>
          <w:szCs w:val="24"/>
          <w:lang w:val="en-GB"/>
        </w:rPr>
        <w:t>consequen</w:t>
      </w:r>
      <w:r w:rsidR="002202F5" w:rsidRPr="008210C1">
        <w:rPr>
          <w:rFonts w:ascii="Times New Roman" w:eastAsia="Times New Roman" w:hAnsi="Times New Roman" w:cs="Times New Roman"/>
          <w:sz w:val="24"/>
          <w:szCs w:val="24"/>
          <w:lang w:val="en-GB"/>
        </w:rPr>
        <w:t>tly,</w:t>
      </w:r>
      <w:r w:rsidR="00811E5D" w:rsidRPr="008210C1">
        <w:rPr>
          <w:rFonts w:ascii="Times New Roman" w:eastAsia="Times New Roman" w:hAnsi="Times New Roman" w:cs="Times New Roman"/>
          <w:sz w:val="24"/>
          <w:szCs w:val="24"/>
          <w:lang w:val="en-GB"/>
        </w:rPr>
        <w:t xml:space="preserve"> </w:t>
      </w:r>
      <w:r w:rsidR="00BA0397" w:rsidRPr="008210C1">
        <w:rPr>
          <w:rFonts w:ascii="Times New Roman" w:eastAsia="Times New Roman" w:hAnsi="Times New Roman" w:cs="Times New Roman"/>
          <w:sz w:val="24"/>
          <w:szCs w:val="24"/>
          <w:lang w:val="en-GB"/>
        </w:rPr>
        <w:t>agents</w:t>
      </w:r>
      <w:r w:rsidR="00811E5D" w:rsidRPr="008210C1">
        <w:rPr>
          <w:rFonts w:ascii="Times New Roman" w:eastAsia="Times New Roman" w:hAnsi="Times New Roman" w:cs="Times New Roman"/>
          <w:sz w:val="24"/>
          <w:szCs w:val="24"/>
          <w:lang w:val="en-GB"/>
        </w:rPr>
        <w:t xml:space="preserve"> </w:t>
      </w:r>
      <w:r w:rsidR="008D0EF2" w:rsidRPr="008210C1">
        <w:rPr>
          <w:rFonts w:ascii="Times New Roman" w:eastAsia="Times New Roman" w:hAnsi="Times New Roman" w:cs="Times New Roman"/>
          <w:sz w:val="24"/>
          <w:szCs w:val="24"/>
          <w:lang w:val="en-GB"/>
        </w:rPr>
        <w:t xml:space="preserve">can </w:t>
      </w:r>
      <w:r w:rsidR="00BA0397" w:rsidRPr="008210C1">
        <w:rPr>
          <w:rFonts w:ascii="Times New Roman" w:eastAsia="Times New Roman" w:hAnsi="Times New Roman" w:cs="Times New Roman"/>
          <w:sz w:val="24"/>
          <w:szCs w:val="24"/>
          <w:lang w:val="en-GB"/>
        </w:rPr>
        <w:t>seek protection against losses that may result from the</w:t>
      </w:r>
      <w:r w:rsidR="002202F5" w:rsidRPr="008210C1">
        <w:rPr>
          <w:rFonts w:ascii="Times New Roman" w:eastAsia="Times New Roman" w:hAnsi="Times New Roman" w:cs="Times New Roman"/>
          <w:sz w:val="24"/>
          <w:szCs w:val="24"/>
          <w:lang w:val="en-GB"/>
        </w:rPr>
        <w:t>ir</w:t>
      </w:r>
      <w:r w:rsidR="00BA0397" w:rsidRPr="008210C1">
        <w:rPr>
          <w:rFonts w:ascii="Times New Roman" w:eastAsia="Times New Roman" w:hAnsi="Times New Roman" w:cs="Times New Roman"/>
          <w:sz w:val="24"/>
          <w:szCs w:val="24"/>
          <w:lang w:val="en-GB"/>
        </w:rPr>
        <w:t xml:space="preserve"> </w:t>
      </w:r>
      <w:r w:rsidR="008D0EF2" w:rsidRPr="008210C1">
        <w:rPr>
          <w:rFonts w:ascii="Times New Roman" w:eastAsia="Times New Roman" w:hAnsi="Times New Roman" w:cs="Times New Roman"/>
          <w:sz w:val="24"/>
          <w:szCs w:val="24"/>
          <w:lang w:val="en-GB"/>
        </w:rPr>
        <w:t>investments</w:t>
      </w:r>
      <w:r w:rsidR="009D3EBF" w:rsidRPr="008210C1">
        <w:rPr>
          <w:rFonts w:ascii="Times New Roman" w:eastAsia="Times New Roman" w:hAnsi="Times New Roman" w:cs="Times New Roman"/>
          <w:sz w:val="24"/>
          <w:szCs w:val="24"/>
          <w:lang w:val="en-GB"/>
        </w:rPr>
        <w:t xml:space="preserve">; such as </w:t>
      </w:r>
      <w:r w:rsidR="00BA0397" w:rsidRPr="008210C1">
        <w:rPr>
          <w:rFonts w:ascii="Times New Roman" w:eastAsia="Times New Roman" w:hAnsi="Times New Roman" w:cs="Times New Roman"/>
          <w:sz w:val="24"/>
          <w:szCs w:val="24"/>
          <w:lang w:val="en-GB"/>
        </w:rPr>
        <w:t xml:space="preserve">liquidity preference </w:t>
      </w:r>
      <w:r w:rsidR="008D0EF2" w:rsidRPr="008210C1">
        <w:rPr>
          <w:rFonts w:ascii="Times New Roman" w:eastAsia="Times New Roman" w:hAnsi="Times New Roman" w:cs="Times New Roman"/>
          <w:sz w:val="24"/>
          <w:szCs w:val="24"/>
          <w:lang w:val="en-GB"/>
        </w:rPr>
        <w:t>outcomes</w:t>
      </w:r>
      <w:r w:rsidR="00BA0397" w:rsidRPr="008210C1">
        <w:rPr>
          <w:rFonts w:ascii="Times New Roman" w:eastAsia="Times New Roman" w:hAnsi="Times New Roman" w:cs="Times New Roman"/>
          <w:sz w:val="24"/>
          <w:szCs w:val="24"/>
          <w:lang w:val="en-GB"/>
        </w:rPr>
        <w:t xml:space="preserve">, </w:t>
      </w:r>
      <w:r w:rsidR="00552FAE" w:rsidRPr="008210C1">
        <w:rPr>
          <w:rFonts w:ascii="Times New Roman" w:eastAsia="Times New Roman" w:hAnsi="Times New Roman" w:cs="Times New Roman"/>
          <w:sz w:val="24"/>
          <w:szCs w:val="24"/>
          <w:lang w:val="en-GB"/>
        </w:rPr>
        <w:t xml:space="preserve">revealing the agents’ conventional behaviour </w:t>
      </w:r>
      <w:r w:rsidR="00BA0397" w:rsidRPr="008210C1">
        <w:rPr>
          <w:rFonts w:ascii="Times New Roman" w:eastAsia="Times New Roman" w:hAnsi="Times New Roman" w:cs="Times New Roman"/>
          <w:sz w:val="24"/>
          <w:szCs w:val="24"/>
          <w:lang w:val="en-GB"/>
        </w:rPr>
        <w:t xml:space="preserve">to gain protection against uncertainty (Carvalho, 2015; Ferrari-Filho and </w:t>
      </w:r>
      <w:proofErr w:type="spellStart"/>
      <w:r w:rsidR="00BA0397" w:rsidRPr="008210C1">
        <w:rPr>
          <w:rFonts w:ascii="Times New Roman" w:eastAsia="Times New Roman" w:hAnsi="Times New Roman" w:cs="Times New Roman"/>
          <w:sz w:val="24"/>
          <w:szCs w:val="24"/>
          <w:lang w:val="en-GB"/>
        </w:rPr>
        <w:t>Conceição</w:t>
      </w:r>
      <w:proofErr w:type="spellEnd"/>
      <w:r w:rsidR="00BA0397" w:rsidRPr="008210C1">
        <w:rPr>
          <w:rFonts w:ascii="Times New Roman" w:eastAsia="Times New Roman" w:hAnsi="Times New Roman" w:cs="Times New Roman"/>
          <w:sz w:val="24"/>
          <w:szCs w:val="24"/>
          <w:lang w:val="en-GB"/>
        </w:rPr>
        <w:t>, 2005).</w:t>
      </w:r>
      <w:r w:rsidR="00552FAE" w:rsidRPr="008210C1">
        <w:rPr>
          <w:rFonts w:ascii="Times New Roman" w:eastAsia="Times New Roman" w:hAnsi="Times New Roman" w:cs="Times New Roman"/>
          <w:sz w:val="24"/>
          <w:szCs w:val="24"/>
          <w:lang w:val="en-GB"/>
        </w:rPr>
        <w:t xml:space="preserve"> </w:t>
      </w:r>
    </w:p>
    <w:p w:rsidR="0006350B" w:rsidRPr="008210C1" w:rsidRDefault="0057179A" w:rsidP="008210C1">
      <w:pPr>
        <w:spacing w:after="0" w:line="240" w:lineRule="auto"/>
        <w:ind w:firstLine="709"/>
        <w:jc w:val="both"/>
        <w:rPr>
          <w:rFonts w:ascii="Times New Roman" w:hAnsi="Times New Roman" w:cs="Times New Roman"/>
          <w:sz w:val="24"/>
          <w:szCs w:val="24"/>
          <w:lang w:val="en-US"/>
        </w:rPr>
      </w:pPr>
      <w:r w:rsidRPr="008210C1">
        <w:rPr>
          <w:rFonts w:ascii="Times New Roman" w:eastAsia="Times New Roman" w:hAnsi="Times New Roman" w:cs="Times New Roman"/>
          <w:sz w:val="24"/>
          <w:szCs w:val="24"/>
          <w:lang w:val="en-GB"/>
        </w:rPr>
        <w:t xml:space="preserve">One </w:t>
      </w:r>
      <w:r w:rsidR="005C5A52" w:rsidRPr="008210C1">
        <w:rPr>
          <w:rFonts w:ascii="Times New Roman" w:eastAsia="Times New Roman" w:hAnsi="Times New Roman" w:cs="Times New Roman"/>
          <w:sz w:val="24"/>
          <w:szCs w:val="24"/>
          <w:lang w:val="en-GB"/>
        </w:rPr>
        <w:t xml:space="preserve">pillar </w:t>
      </w:r>
      <w:r w:rsidRPr="008210C1">
        <w:rPr>
          <w:rFonts w:ascii="Times New Roman" w:eastAsia="Times New Roman" w:hAnsi="Times New Roman" w:cs="Times New Roman"/>
          <w:sz w:val="24"/>
          <w:szCs w:val="24"/>
          <w:lang w:val="en-GB"/>
        </w:rPr>
        <w:t xml:space="preserve">the agents base their </w:t>
      </w:r>
      <w:r w:rsidR="0006350B" w:rsidRPr="008210C1">
        <w:rPr>
          <w:rFonts w:ascii="Times New Roman" w:eastAsia="Times New Roman" w:hAnsi="Times New Roman" w:cs="Times New Roman"/>
          <w:sz w:val="24"/>
          <w:szCs w:val="24"/>
          <w:lang w:val="en-GB"/>
        </w:rPr>
        <w:t xml:space="preserve">uncertain </w:t>
      </w:r>
      <w:r w:rsidRPr="008210C1">
        <w:rPr>
          <w:rFonts w:ascii="Times New Roman" w:eastAsia="Times New Roman" w:hAnsi="Times New Roman" w:cs="Times New Roman"/>
          <w:sz w:val="24"/>
          <w:szCs w:val="24"/>
          <w:lang w:val="en-GB"/>
        </w:rPr>
        <w:t>decision is conventions</w:t>
      </w:r>
      <w:r w:rsidR="00503A22" w:rsidRPr="008210C1">
        <w:rPr>
          <w:rFonts w:ascii="Times New Roman" w:hAnsi="Times New Roman" w:cs="Times New Roman"/>
          <w:sz w:val="24"/>
          <w:szCs w:val="24"/>
          <w:lang w:val="en-US"/>
        </w:rPr>
        <w:t>,</w:t>
      </w:r>
      <w:r w:rsidR="00811E5D" w:rsidRPr="008210C1">
        <w:rPr>
          <w:rFonts w:ascii="Times New Roman" w:hAnsi="Times New Roman" w:cs="Times New Roman"/>
          <w:sz w:val="24"/>
          <w:szCs w:val="24"/>
          <w:lang w:val="en-US"/>
        </w:rPr>
        <w:t xml:space="preserve"> </w:t>
      </w:r>
      <w:r w:rsidR="00503A22" w:rsidRPr="008210C1">
        <w:rPr>
          <w:rFonts w:ascii="Times New Roman" w:hAnsi="Times New Roman" w:cs="Times New Roman"/>
          <w:sz w:val="24"/>
          <w:szCs w:val="24"/>
          <w:lang w:val="en-US"/>
        </w:rPr>
        <w:t>whose essence</w:t>
      </w:r>
      <w:r w:rsidR="00BA0397" w:rsidRPr="008210C1">
        <w:rPr>
          <w:rFonts w:ascii="Times New Roman" w:hAnsi="Times New Roman" w:cs="Times New Roman"/>
          <w:sz w:val="24"/>
          <w:szCs w:val="24"/>
          <w:lang w:val="en-US"/>
        </w:rPr>
        <w:t xml:space="preserve"> “</w:t>
      </w:r>
      <w:r w:rsidR="00503A22" w:rsidRPr="008210C1">
        <w:rPr>
          <w:rFonts w:ascii="Times New Roman" w:hAnsi="Times New Roman" w:cs="Times New Roman"/>
          <w:sz w:val="24"/>
          <w:szCs w:val="24"/>
          <w:lang w:val="en-US"/>
        </w:rPr>
        <w:t>l</w:t>
      </w:r>
      <w:r w:rsidR="00BA0397" w:rsidRPr="008210C1">
        <w:rPr>
          <w:rFonts w:ascii="Times New Roman" w:hAnsi="Times New Roman" w:cs="Times New Roman"/>
          <w:sz w:val="24"/>
          <w:szCs w:val="24"/>
          <w:lang w:val="en-US"/>
        </w:rPr>
        <w:t xml:space="preserve">ies in assuming that the existing </w:t>
      </w:r>
      <w:proofErr w:type="gramStart"/>
      <w:r w:rsidR="00BA0397" w:rsidRPr="008210C1">
        <w:rPr>
          <w:rFonts w:ascii="Times New Roman" w:hAnsi="Times New Roman" w:cs="Times New Roman"/>
          <w:sz w:val="24"/>
          <w:szCs w:val="24"/>
          <w:lang w:val="en-US"/>
        </w:rPr>
        <w:t>state of affairs will</w:t>
      </w:r>
      <w:proofErr w:type="gramEnd"/>
      <w:r w:rsidR="00BA0397" w:rsidRPr="008210C1">
        <w:rPr>
          <w:rFonts w:ascii="Times New Roman" w:hAnsi="Times New Roman" w:cs="Times New Roman"/>
          <w:sz w:val="24"/>
          <w:szCs w:val="24"/>
          <w:lang w:val="en-US"/>
        </w:rPr>
        <w:t xml:space="preserve"> continue indefinitely, except in so far as we have specific </w:t>
      </w:r>
      <w:r w:rsidR="00BA0397" w:rsidRPr="008210C1">
        <w:rPr>
          <w:rFonts w:ascii="Times New Roman" w:hAnsi="Times New Roman" w:cs="Times New Roman"/>
          <w:sz w:val="24"/>
          <w:szCs w:val="24"/>
          <w:lang w:val="en-US"/>
        </w:rPr>
        <w:lastRenderedPageBreak/>
        <w:t>reasons to</w:t>
      </w:r>
      <w:r w:rsidR="00FD1969" w:rsidRPr="008210C1">
        <w:rPr>
          <w:rFonts w:ascii="Times New Roman" w:hAnsi="Times New Roman" w:cs="Times New Roman"/>
          <w:sz w:val="24"/>
          <w:szCs w:val="24"/>
          <w:lang w:val="en-US"/>
        </w:rPr>
        <w:t xml:space="preserve"> expect a change” (Keynes, 1973</w:t>
      </w:r>
      <w:r w:rsidR="00BA0397" w:rsidRPr="008210C1">
        <w:rPr>
          <w:rFonts w:ascii="Times New Roman" w:hAnsi="Times New Roman" w:cs="Times New Roman"/>
          <w:sz w:val="24"/>
          <w:szCs w:val="24"/>
          <w:lang w:val="en-US"/>
        </w:rPr>
        <w:t>, p. 15</w:t>
      </w:r>
      <w:r w:rsidR="00FD1969" w:rsidRPr="008210C1">
        <w:rPr>
          <w:rFonts w:ascii="Times New Roman" w:hAnsi="Times New Roman" w:cs="Times New Roman"/>
          <w:sz w:val="24"/>
          <w:szCs w:val="24"/>
          <w:lang w:val="en-US"/>
        </w:rPr>
        <w:t>2</w:t>
      </w:r>
      <w:r w:rsidR="00BA0397"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w:t>
      </w:r>
      <w:r w:rsidR="0006350B" w:rsidRPr="008210C1">
        <w:rPr>
          <w:rFonts w:ascii="Times New Roman" w:hAnsi="Times New Roman" w:cs="Times New Roman"/>
          <w:sz w:val="24"/>
          <w:szCs w:val="24"/>
          <w:lang w:val="en-US"/>
        </w:rPr>
        <w:t>To</w:t>
      </w:r>
      <w:r w:rsidR="00BA0397" w:rsidRPr="008210C1">
        <w:rPr>
          <w:rFonts w:ascii="Times New Roman" w:hAnsi="Times New Roman" w:cs="Times New Roman"/>
          <w:sz w:val="24"/>
          <w:szCs w:val="24"/>
          <w:lang w:val="en-US"/>
        </w:rPr>
        <w:t xml:space="preserve"> </w:t>
      </w:r>
      <w:proofErr w:type="spellStart"/>
      <w:r w:rsidR="00BA0397" w:rsidRPr="008210C1">
        <w:rPr>
          <w:rFonts w:ascii="Times New Roman" w:hAnsi="Times New Roman" w:cs="Times New Roman"/>
          <w:sz w:val="24"/>
          <w:szCs w:val="24"/>
          <w:lang w:val="en-US"/>
        </w:rPr>
        <w:t>Dequech</w:t>
      </w:r>
      <w:proofErr w:type="spellEnd"/>
      <w:r w:rsidR="00BA0397" w:rsidRPr="008210C1">
        <w:rPr>
          <w:rFonts w:ascii="Times New Roman" w:hAnsi="Times New Roman" w:cs="Times New Roman"/>
          <w:sz w:val="24"/>
          <w:szCs w:val="24"/>
          <w:lang w:val="en-US"/>
        </w:rPr>
        <w:t xml:space="preserve"> (1999), convention can be understood as a collective rule of behavior. </w:t>
      </w:r>
      <w:proofErr w:type="spellStart"/>
      <w:r w:rsidR="00BA0397" w:rsidRPr="008210C1">
        <w:rPr>
          <w:rFonts w:ascii="Times New Roman" w:eastAsia="Times New Roman" w:hAnsi="Times New Roman" w:cs="Times New Roman"/>
          <w:sz w:val="24"/>
          <w:szCs w:val="24"/>
          <w:lang w:val="en-US" w:eastAsia="pt-BR"/>
        </w:rPr>
        <w:t>Plihon</w:t>
      </w:r>
      <w:proofErr w:type="spellEnd"/>
      <w:r w:rsidR="00BA0397" w:rsidRPr="008210C1">
        <w:rPr>
          <w:rFonts w:ascii="Times New Roman" w:eastAsia="Times New Roman" w:hAnsi="Times New Roman" w:cs="Times New Roman"/>
          <w:sz w:val="24"/>
          <w:szCs w:val="24"/>
          <w:lang w:val="en-US" w:eastAsia="pt-BR"/>
        </w:rPr>
        <w:t xml:space="preserve"> (1995) interpreted convention as </w:t>
      </w:r>
      <w:r w:rsidR="00B936E0" w:rsidRPr="008210C1">
        <w:rPr>
          <w:rFonts w:ascii="Times New Roman" w:eastAsia="Times New Roman" w:hAnsi="Times New Roman" w:cs="Times New Roman"/>
          <w:sz w:val="24"/>
          <w:szCs w:val="24"/>
          <w:lang w:val="en-US" w:eastAsia="pt-BR"/>
        </w:rPr>
        <w:t>a</w:t>
      </w:r>
      <w:r w:rsidR="00BA0397" w:rsidRPr="008210C1">
        <w:rPr>
          <w:rFonts w:ascii="Times New Roman" w:eastAsia="Times New Roman" w:hAnsi="Times New Roman" w:cs="Times New Roman"/>
          <w:sz w:val="24"/>
          <w:szCs w:val="24"/>
          <w:lang w:val="en-US" w:eastAsia="pt-BR"/>
        </w:rPr>
        <w:t xml:space="preserve"> mim</w:t>
      </w:r>
      <w:r w:rsidR="009D3EBF" w:rsidRPr="008210C1">
        <w:rPr>
          <w:rFonts w:ascii="Times New Roman" w:eastAsia="Times New Roman" w:hAnsi="Times New Roman" w:cs="Times New Roman"/>
          <w:sz w:val="24"/>
          <w:szCs w:val="24"/>
          <w:lang w:val="en-US" w:eastAsia="pt-BR"/>
        </w:rPr>
        <w:t>et</w:t>
      </w:r>
      <w:r w:rsidR="003F4B56" w:rsidRPr="008210C1">
        <w:rPr>
          <w:rFonts w:ascii="Times New Roman" w:eastAsia="Times New Roman" w:hAnsi="Times New Roman" w:cs="Times New Roman"/>
          <w:sz w:val="24"/>
          <w:szCs w:val="24"/>
          <w:lang w:val="en-US" w:eastAsia="pt-BR"/>
        </w:rPr>
        <w:t xml:space="preserve">ic </w:t>
      </w:r>
      <w:r w:rsidR="00BA0397" w:rsidRPr="008210C1">
        <w:rPr>
          <w:rFonts w:ascii="Times New Roman" w:eastAsia="Times New Roman" w:hAnsi="Times New Roman" w:cs="Times New Roman"/>
          <w:sz w:val="24"/>
          <w:szCs w:val="24"/>
          <w:lang w:val="en-US" w:eastAsia="pt-BR"/>
        </w:rPr>
        <w:t xml:space="preserve">behavior. </w:t>
      </w:r>
      <w:r w:rsidRPr="008210C1">
        <w:rPr>
          <w:rFonts w:ascii="Times New Roman" w:eastAsia="Times New Roman" w:hAnsi="Times New Roman" w:cs="Times New Roman"/>
          <w:sz w:val="24"/>
          <w:szCs w:val="24"/>
          <w:lang w:val="en-US" w:eastAsia="pt-BR"/>
        </w:rPr>
        <w:t xml:space="preserve">To Dow (2010, p. 8), </w:t>
      </w:r>
      <w:r w:rsidR="00BA0397" w:rsidRPr="008210C1">
        <w:rPr>
          <w:rFonts w:ascii="Times New Roman" w:eastAsia="Times New Roman" w:hAnsi="Times New Roman" w:cs="Times New Roman"/>
          <w:sz w:val="24"/>
          <w:szCs w:val="24"/>
          <w:lang w:val="en-US" w:eastAsia="pt-BR"/>
        </w:rPr>
        <w:t>convention relate</w:t>
      </w:r>
      <w:r w:rsidR="0029075E" w:rsidRPr="008210C1">
        <w:rPr>
          <w:rFonts w:ascii="Times New Roman" w:eastAsia="Times New Roman" w:hAnsi="Times New Roman" w:cs="Times New Roman"/>
          <w:sz w:val="24"/>
          <w:szCs w:val="24"/>
          <w:lang w:val="en-US" w:eastAsia="pt-BR"/>
        </w:rPr>
        <w:t>s</w:t>
      </w:r>
      <w:r w:rsidR="00BA0397" w:rsidRPr="008210C1">
        <w:rPr>
          <w:rFonts w:ascii="Times New Roman" w:eastAsia="Times New Roman" w:hAnsi="Times New Roman" w:cs="Times New Roman"/>
          <w:sz w:val="24"/>
          <w:szCs w:val="24"/>
          <w:lang w:val="en-US" w:eastAsia="pt-BR"/>
        </w:rPr>
        <w:t xml:space="preserve"> to expectations</w:t>
      </w:r>
      <w:r w:rsidR="0006350B" w:rsidRPr="008210C1">
        <w:rPr>
          <w:rFonts w:ascii="Times New Roman" w:eastAsia="Times New Roman" w:hAnsi="Times New Roman" w:cs="Times New Roman"/>
          <w:sz w:val="24"/>
          <w:szCs w:val="24"/>
          <w:lang w:val="en-US" w:eastAsia="pt-BR"/>
        </w:rPr>
        <w:t>, though</w:t>
      </w:r>
      <w:r w:rsidR="00BA0397" w:rsidRPr="008210C1">
        <w:rPr>
          <w:rFonts w:ascii="Times New Roman" w:eastAsia="Times New Roman" w:hAnsi="Times New Roman" w:cs="Times New Roman"/>
          <w:sz w:val="24"/>
          <w:szCs w:val="24"/>
          <w:lang w:val="en-US" w:eastAsia="pt-BR"/>
        </w:rPr>
        <w:t xml:space="preserve"> both are formed interdependently. Davis (1997</w:t>
      </w:r>
      <w:r w:rsidR="003F4B56" w:rsidRPr="008210C1">
        <w:rPr>
          <w:rFonts w:ascii="Times New Roman" w:eastAsia="Times New Roman" w:hAnsi="Times New Roman" w:cs="Times New Roman"/>
          <w:sz w:val="24"/>
          <w:szCs w:val="24"/>
          <w:lang w:val="en-US" w:eastAsia="pt-BR"/>
        </w:rPr>
        <w:t xml:space="preserve">) </w:t>
      </w:r>
      <w:r w:rsidR="00B936E0" w:rsidRPr="008210C1">
        <w:rPr>
          <w:rFonts w:ascii="Times New Roman" w:eastAsia="Times New Roman" w:hAnsi="Times New Roman" w:cs="Times New Roman"/>
          <w:sz w:val="24"/>
          <w:szCs w:val="24"/>
          <w:lang w:val="en-US" w:eastAsia="pt-BR"/>
        </w:rPr>
        <w:t xml:space="preserve">saw </w:t>
      </w:r>
      <w:r w:rsidR="00BA0397" w:rsidRPr="008210C1">
        <w:rPr>
          <w:rFonts w:ascii="Times New Roman" w:eastAsia="Times New Roman" w:hAnsi="Times New Roman" w:cs="Times New Roman"/>
          <w:sz w:val="24"/>
          <w:szCs w:val="24"/>
          <w:lang w:val="en-US" w:eastAsia="pt-BR"/>
        </w:rPr>
        <w:t xml:space="preserve">conventions “as interactive, as is confidence, individual and collective </w:t>
      </w:r>
      <w:r w:rsidR="007C05CC" w:rsidRPr="008210C1">
        <w:rPr>
          <w:rFonts w:ascii="Times New Roman" w:eastAsia="Times New Roman" w:hAnsi="Times New Roman" w:cs="Times New Roman"/>
          <w:sz w:val="24"/>
          <w:szCs w:val="24"/>
          <w:lang w:val="en-US" w:eastAsia="pt-BR"/>
        </w:rPr>
        <w:t>[</w:t>
      </w:r>
      <w:r w:rsidR="00BA0397" w:rsidRPr="008210C1">
        <w:rPr>
          <w:rFonts w:ascii="Times New Roman" w:eastAsia="Times New Roman" w:hAnsi="Times New Roman" w:cs="Times New Roman"/>
          <w:sz w:val="24"/>
          <w:szCs w:val="24"/>
          <w:lang w:val="en-US" w:eastAsia="pt-BR"/>
        </w:rPr>
        <w:t>…</w:t>
      </w:r>
      <w:r w:rsidR="007C05CC" w:rsidRPr="008210C1">
        <w:rPr>
          <w:rFonts w:ascii="Times New Roman" w:eastAsia="Times New Roman" w:hAnsi="Times New Roman" w:cs="Times New Roman"/>
          <w:sz w:val="24"/>
          <w:szCs w:val="24"/>
          <w:lang w:val="en-US" w:eastAsia="pt-BR"/>
        </w:rPr>
        <w:t>]</w:t>
      </w:r>
      <w:r w:rsidR="00BA0397" w:rsidRPr="008210C1">
        <w:rPr>
          <w:rFonts w:ascii="Times New Roman" w:eastAsia="Times New Roman" w:hAnsi="Times New Roman" w:cs="Times New Roman"/>
          <w:sz w:val="24"/>
          <w:szCs w:val="24"/>
          <w:lang w:val="en-US" w:eastAsia="pt-BR"/>
        </w:rPr>
        <w:t xml:space="preserve"> individuals concentrate on change, and so makes the convention itself more likely to be precarious”</w:t>
      </w:r>
      <w:r w:rsidR="003F4B56" w:rsidRPr="008210C1">
        <w:rPr>
          <w:rFonts w:ascii="Times New Roman" w:eastAsia="Times New Roman" w:hAnsi="Times New Roman" w:cs="Times New Roman"/>
          <w:sz w:val="24"/>
          <w:szCs w:val="24"/>
          <w:lang w:val="en-US" w:eastAsia="pt-BR"/>
        </w:rPr>
        <w:t xml:space="preserve"> (p. xiii).</w:t>
      </w:r>
      <w:r w:rsidR="00BA0397" w:rsidRPr="008210C1">
        <w:rPr>
          <w:rFonts w:ascii="Times New Roman" w:eastAsia="Times New Roman" w:hAnsi="Times New Roman" w:cs="Times New Roman"/>
          <w:sz w:val="24"/>
          <w:szCs w:val="24"/>
          <w:lang w:val="en-US" w:eastAsia="pt-BR"/>
        </w:rPr>
        <w:t xml:space="preserve"> </w:t>
      </w:r>
      <w:proofErr w:type="spellStart"/>
      <w:r w:rsidR="00BA0397" w:rsidRPr="008210C1">
        <w:rPr>
          <w:rFonts w:ascii="Times New Roman" w:hAnsi="Times New Roman" w:cs="Times New Roman"/>
          <w:sz w:val="24"/>
          <w:szCs w:val="24"/>
          <w:lang w:val="en-US"/>
        </w:rPr>
        <w:t>Modenesi</w:t>
      </w:r>
      <w:proofErr w:type="spellEnd"/>
      <w:r w:rsidR="00BA0397" w:rsidRPr="008210C1">
        <w:rPr>
          <w:rFonts w:ascii="Times New Roman" w:hAnsi="Times New Roman" w:cs="Times New Roman"/>
          <w:sz w:val="24"/>
          <w:szCs w:val="24"/>
          <w:lang w:val="en-US"/>
        </w:rPr>
        <w:t xml:space="preserve"> (2012) and Carvalho (2014</w:t>
      </w:r>
      <w:r w:rsidR="0006350B" w:rsidRPr="008210C1">
        <w:rPr>
          <w:rFonts w:ascii="Times New Roman" w:hAnsi="Times New Roman" w:cs="Times New Roman"/>
          <w:sz w:val="24"/>
          <w:szCs w:val="24"/>
          <w:lang w:val="en-US"/>
        </w:rPr>
        <w:t xml:space="preserve">) considered </w:t>
      </w:r>
      <w:r w:rsidR="00BA0397" w:rsidRPr="008210C1">
        <w:rPr>
          <w:rFonts w:ascii="Times New Roman" w:hAnsi="Times New Roman" w:cs="Times New Roman"/>
          <w:sz w:val="24"/>
          <w:szCs w:val="24"/>
          <w:lang w:val="en-US"/>
        </w:rPr>
        <w:t xml:space="preserve">convention a belief shared by </w:t>
      </w:r>
      <w:r w:rsidR="00D649F7" w:rsidRPr="008210C1">
        <w:rPr>
          <w:rFonts w:ascii="Times New Roman" w:hAnsi="Times New Roman" w:cs="Times New Roman"/>
          <w:sz w:val="24"/>
          <w:szCs w:val="24"/>
          <w:lang w:val="en-US"/>
        </w:rPr>
        <w:t>many</w:t>
      </w:r>
      <w:r w:rsidR="00BA0397" w:rsidRPr="008210C1">
        <w:rPr>
          <w:rFonts w:ascii="Times New Roman" w:hAnsi="Times New Roman" w:cs="Times New Roman"/>
          <w:sz w:val="24"/>
          <w:szCs w:val="24"/>
          <w:lang w:val="en-US"/>
        </w:rPr>
        <w:t xml:space="preserve"> individuals.</w:t>
      </w:r>
      <w:r w:rsidR="00650281" w:rsidRPr="008210C1">
        <w:rPr>
          <w:rFonts w:ascii="Times New Roman" w:hAnsi="Times New Roman" w:cs="Times New Roman"/>
          <w:sz w:val="24"/>
          <w:szCs w:val="24"/>
          <w:lang w:val="en-US"/>
        </w:rPr>
        <w:t xml:space="preserve"> </w:t>
      </w:r>
    </w:p>
    <w:p w:rsidR="004F2C9E" w:rsidRPr="008210C1" w:rsidRDefault="0006350B"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Thereby, we </w:t>
      </w:r>
      <w:r w:rsidR="00BA0397" w:rsidRPr="008210C1">
        <w:rPr>
          <w:rFonts w:ascii="Times New Roman" w:hAnsi="Times New Roman" w:cs="Times New Roman"/>
          <w:sz w:val="24"/>
          <w:szCs w:val="24"/>
          <w:lang w:val="en-US"/>
        </w:rPr>
        <w:t>summarize convention as</w:t>
      </w:r>
      <w:r w:rsidR="00503A22" w:rsidRPr="008210C1">
        <w:rPr>
          <w:rFonts w:ascii="Times New Roman" w:hAnsi="Times New Roman" w:cs="Times New Roman"/>
          <w:sz w:val="24"/>
          <w:szCs w:val="24"/>
          <w:lang w:val="en-US"/>
        </w:rPr>
        <w:t xml:space="preserve"> a</w:t>
      </w:r>
      <w:r w:rsidR="00AD1000"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 xml:space="preserve">public opinion prevailing </w:t>
      </w:r>
      <w:r w:rsidR="003F4B56" w:rsidRPr="008210C1">
        <w:rPr>
          <w:rFonts w:ascii="Times New Roman" w:hAnsi="Times New Roman" w:cs="Times New Roman"/>
          <w:sz w:val="24"/>
          <w:szCs w:val="24"/>
          <w:lang w:val="en-US"/>
        </w:rPr>
        <w:t xml:space="preserve">in </w:t>
      </w:r>
      <w:r w:rsidR="0057179A" w:rsidRPr="008210C1">
        <w:rPr>
          <w:rFonts w:ascii="Times New Roman" w:hAnsi="Times New Roman" w:cs="Times New Roman"/>
          <w:sz w:val="24"/>
          <w:szCs w:val="24"/>
          <w:lang w:val="en-US"/>
        </w:rPr>
        <w:t>some</w:t>
      </w:r>
      <w:r w:rsidR="00BA0397" w:rsidRPr="008210C1">
        <w:rPr>
          <w:rFonts w:ascii="Times New Roman" w:hAnsi="Times New Roman" w:cs="Times New Roman"/>
          <w:sz w:val="24"/>
          <w:szCs w:val="24"/>
          <w:lang w:val="en-US"/>
        </w:rPr>
        <w:t xml:space="preserve"> </w:t>
      </w:r>
      <w:r w:rsidR="003F4B56" w:rsidRPr="008210C1">
        <w:rPr>
          <w:rFonts w:ascii="Times New Roman" w:hAnsi="Times New Roman" w:cs="Times New Roman"/>
          <w:sz w:val="24"/>
          <w:szCs w:val="24"/>
          <w:lang w:val="en-US"/>
        </w:rPr>
        <w:t>instance</w:t>
      </w:r>
      <w:r w:rsidR="00947DE7" w:rsidRPr="008210C1">
        <w:rPr>
          <w:rFonts w:ascii="Times New Roman" w:hAnsi="Times New Roman" w:cs="Times New Roman"/>
          <w:sz w:val="24"/>
          <w:szCs w:val="24"/>
          <w:lang w:val="en-US"/>
        </w:rPr>
        <w:t>. It forms</w:t>
      </w:r>
      <w:r w:rsidR="00BA0397" w:rsidRPr="008210C1">
        <w:rPr>
          <w:rFonts w:ascii="Times New Roman" w:hAnsi="Times New Roman" w:cs="Times New Roman"/>
          <w:sz w:val="24"/>
          <w:szCs w:val="24"/>
          <w:lang w:val="en-US"/>
        </w:rPr>
        <w:t xml:space="preserve"> a conventional reasoning</w:t>
      </w:r>
      <w:r w:rsidR="003F4B56" w:rsidRPr="008210C1">
        <w:rPr>
          <w:rFonts w:ascii="Times New Roman" w:hAnsi="Times New Roman" w:cs="Times New Roman"/>
          <w:sz w:val="24"/>
          <w:szCs w:val="24"/>
          <w:lang w:val="en-US"/>
        </w:rPr>
        <w:t>,</w:t>
      </w:r>
      <w:r w:rsidR="00947DE7" w:rsidRPr="008210C1">
        <w:rPr>
          <w:rFonts w:ascii="Times New Roman" w:hAnsi="Times New Roman" w:cs="Times New Roman"/>
          <w:sz w:val="24"/>
          <w:szCs w:val="24"/>
          <w:lang w:val="en-US"/>
        </w:rPr>
        <w:t xml:space="preserve"> which</w:t>
      </w:r>
      <w:r w:rsidR="00BA0397" w:rsidRPr="008210C1">
        <w:rPr>
          <w:rFonts w:ascii="Times New Roman" w:hAnsi="Times New Roman" w:cs="Times New Roman"/>
          <w:sz w:val="24"/>
          <w:szCs w:val="24"/>
          <w:lang w:val="en-US"/>
        </w:rPr>
        <w:t xml:space="preserve"> agents use as a</w:t>
      </w:r>
      <w:r w:rsidRPr="008210C1">
        <w:rPr>
          <w:rFonts w:ascii="Times New Roman" w:hAnsi="Times New Roman" w:cs="Times New Roman"/>
          <w:sz w:val="24"/>
          <w:szCs w:val="24"/>
          <w:lang w:val="en-US"/>
        </w:rPr>
        <w:t>n important</w:t>
      </w:r>
      <w:r w:rsidR="00811E5D"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 xml:space="preserve">aspect </w:t>
      </w:r>
      <w:r w:rsidRPr="008210C1">
        <w:rPr>
          <w:rFonts w:ascii="Times New Roman" w:hAnsi="Times New Roman" w:cs="Times New Roman"/>
          <w:sz w:val="24"/>
          <w:szCs w:val="24"/>
          <w:lang w:val="en-US"/>
        </w:rPr>
        <w:t xml:space="preserve">to </w:t>
      </w:r>
      <w:r w:rsidR="00BA0397" w:rsidRPr="008210C1">
        <w:rPr>
          <w:rFonts w:ascii="Times New Roman" w:hAnsi="Times New Roman" w:cs="Times New Roman"/>
          <w:sz w:val="24"/>
          <w:szCs w:val="24"/>
          <w:lang w:val="en-US"/>
        </w:rPr>
        <w:t xml:space="preserve">form their expectations. </w:t>
      </w:r>
      <w:r w:rsidR="00650281" w:rsidRPr="008210C1">
        <w:rPr>
          <w:rFonts w:ascii="Times New Roman" w:hAnsi="Times New Roman" w:cs="Times New Roman"/>
          <w:sz w:val="24"/>
          <w:szCs w:val="24"/>
          <w:lang w:val="en-US"/>
        </w:rPr>
        <w:t>A</w:t>
      </w:r>
      <w:r w:rsidR="00BA0397" w:rsidRPr="008210C1">
        <w:rPr>
          <w:rFonts w:ascii="Times New Roman" w:hAnsi="Times New Roman" w:cs="Times New Roman"/>
          <w:sz w:val="24"/>
          <w:szCs w:val="24"/>
          <w:lang w:val="en-US"/>
        </w:rPr>
        <w:t>s</w:t>
      </w:r>
      <w:r w:rsidR="00811E5D"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future economic events cannot be calculated, decision-makers</w:t>
      </w:r>
      <w:r w:rsidR="00811E5D"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guide themselves</w:t>
      </w:r>
      <w:r w:rsidR="003F4B56" w:rsidRPr="008210C1">
        <w:rPr>
          <w:rFonts w:ascii="Times New Roman" w:hAnsi="Times New Roman" w:cs="Times New Roman"/>
          <w:sz w:val="24"/>
          <w:szCs w:val="24"/>
          <w:lang w:val="en-US"/>
        </w:rPr>
        <w:t>,</w:t>
      </w:r>
      <w:r w:rsidR="00BA0397" w:rsidRPr="008210C1">
        <w:rPr>
          <w:rFonts w:ascii="Times New Roman" w:hAnsi="Times New Roman" w:cs="Times New Roman"/>
          <w:sz w:val="24"/>
          <w:szCs w:val="24"/>
          <w:lang w:val="en-US"/>
        </w:rPr>
        <w:t xml:space="preserve"> based on the</w:t>
      </w:r>
      <w:r w:rsidR="00650281" w:rsidRPr="008210C1">
        <w:rPr>
          <w:rFonts w:ascii="Times New Roman" w:hAnsi="Times New Roman" w:cs="Times New Roman"/>
          <w:sz w:val="24"/>
          <w:szCs w:val="24"/>
          <w:lang w:val="en-US"/>
        </w:rPr>
        <w:t>ir</w:t>
      </w:r>
      <w:r w:rsidR="00BA0397" w:rsidRPr="008210C1">
        <w:rPr>
          <w:rFonts w:ascii="Times New Roman" w:hAnsi="Times New Roman" w:cs="Times New Roman"/>
          <w:sz w:val="24"/>
          <w:szCs w:val="24"/>
          <w:lang w:val="en-US"/>
        </w:rPr>
        <w:t xml:space="preserve"> </w:t>
      </w:r>
      <w:r w:rsidR="00BA0397" w:rsidRPr="008210C1">
        <w:rPr>
          <w:rFonts w:ascii="Times New Roman" w:hAnsi="Times New Roman" w:cs="Times New Roman"/>
          <w:i/>
          <w:sz w:val="24"/>
          <w:szCs w:val="24"/>
          <w:lang w:val="en-US"/>
        </w:rPr>
        <w:t>confidence</w:t>
      </w:r>
      <w:r w:rsidR="00AD1000" w:rsidRPr="008210C1">
        <w:rPr>
          <w:rFonts w:ascii="Times New Roman" w:hAnsi="Times New Roman" w:cs="Times New Roman"/>
          <w:i/>
          <w:sz w:val="24"/>
          <w:szCs w:val="24"/>
          <w:lang w:val="en-US"/>
        </w:rPr>
        <w:t xml:space="preserve"> </w:t>
      </w:r>
      <w:r w:rsidRPr="008210C1">
        <w:rPr>
          <w:rFonts w:ascii="Times New Roman" w:hAnsi="Times New Roman" w:cs="Times New Roman"/>
          <w:sz w:val="24"/>
          <w:szCs w:val="24"/>
          <w:lang w:val="en-US"/>
        </w:rPr>
        <w:t xml:space="preserve">on </w:t>
      </w:r>
      <w:r w:rsidR="00BA0397" w:rsidRPr="008210C1">
        <w:rPr>
          <w:rFonts w:ascii="Times New Roman" w:hAnsi="Times New Roman" w:cs="Times New Roman"/>
          <w:sz w:val="24"/>
          <w:szCs w:val="24"/>
          <w:lang w:val="en-US"/>
        </w:rPr>
        <w:t xml:space="preserve">their own expectations. </w:t>
      </w:r>
      <w:r w:rsidRPr="008210C1">
        <w:rPr>
          <w:rFonts w:ascii="Times New Roman" w:hAnsi="Times New Roman" w:cs="Times New Roman"/>
          <w:sz w:val="24"/>
          <w:szCs w:val="24"/>
          <w:lang w:val="en-US"/>
        </w:rPr>
        <w:t>Decisions</w:t>
      </w:r>
      <w:r w:rsidR="00BA0397"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are </w:t>
      </w:r>
      <w:r w:rsidR="00BA0397" w:rsidRPr="008210C1">
        <w:rPr>
          <w:rFonts w:ascii="Times New Roman" w:hAnsi="Times New Roman" w:cs="Times New Roman"/>
          <w:sz w:val="24"/>
          <w:szCs w:val="24"/>
          <w:lang w:val="en-US"/>
        </w:rPr>
        <w:t xml:space="preserve">not just a matter of expectations but also of how </w:t>
      </w:r>
      <w:r w:rsidR="00503A22" w:rsidRPr="008210C1">
        <w:rPr>
          <w:rFonts w:ascii="Times New Roman" w:hAnsi="Times New Roman" w:cs="Times New Roman"/>
          <w:sz w:val="24"/>
          <w:szCs w:val="24"/>
          <w:lang w:val="en-US"/>
        </w:rPr>
        <w:t xml:space="preserve">one </w:t>
      </w:r>
      <w:r w:rsidR="00BA0397" w:rsidRPr="008210C1">
        <w:rPr>
          <w:rFonts w:ascii="Times New Roman" w:hAnsi="Times New Roman" w:cs="Times New Roman"/>
          <w:sz w:val="24"/>
          <w:szCs w:val="24"/>
          <w:lang w:val="en-US"/>
        </w:rPr>
        <w:t xml:space="preserve">trusts on what </w:t>
      </w:r>
      <w:r w:rsidR="003F4B56" w:rsidRPr="008210C1">
        <w:rPr>
          <w:rFonts w:ascii="Times New Roman" w:hAnsi="Times New Roman" w:cs="Times New Roman"/>
          <w:sz w:val="24"/>
          <w:szCs w:val="24"/>
          <w:lang w:val="en-US"/>
        </w:rPr>
        <w:t xml:space="preserve">is </w:t>
      </w:r>
      <w:r w:rsidRPr="008210C1">
        <w:rPr>
          <w:rFonts w:ascii="Times New Roman" w:hAnsi="Times New Roman" w:cs="Times New Roman"/>
          <w:sz w:val="24"/>
          <w:szCs w:val="24"/>
          <w:lang w:val="en-US"/>
        </w:rPr>
        <w:t>expected</w:t>
      </w:r>
      <w:r w:rsidR="003F4B56"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Hence, if conventions partly help forming expectations</w:t>
      </w:r>
      <w:r w:rsidR="00650281" w:rsidRPr="008210C1">
        <w:rPr>
          <w:rFonts w:ascii="Times New Roman" w:hAnsi="Times New Roman" w:cs="Times New Roman"/>
          <w:sz w:val="24"/>
          <w:szCs w:val="24"/>
          <w:lang w:val="en-US"/>
        </w:rPr>
        <w:t xml:space="preserve"> under uncertainty</w:t>
      </w:r>
      <w:r w:rsidR="00BA0397" w:rsidRPr="008210C1">
        <w:rPr>
          <w:rFonts w:ascii="Times New Roman" w:hAnsi="Times New Roman" w:cs="Times New Roman"/>
          <w:sz w:val="24"/>
          <w:szCs w:val="24"/>
          <w:lang w:val="en-US"/>
        </w:rPr>
        <w:t xml:space="preserve">, the state of confidence of </w:t>
      </w:r>
      <w:r w:rsidR="009A3B6E" w:rsidRPr="008210C1">
        <w:rPr>
          <w:rFonts w:ascii="Times New Roman" w:hAnsi="Times New Roman" w:cs="Times New Roman"/>
          <w:sz w:val="24"/>
          <w:szCs w:val="24"/>
          <w:lang w:val="en-US"/>
        </w:rPr>
        <w:t>agents</w:t>
      </w:r>
      <w:r w:rsidR="00BA0397" w:rsidRPr="008210C1">
        <w:rPr>
          <w:rFonts w:ascii="Times New Roman" w:hAnsi="Times New Roman" w:cs="Times New Roman"/>
          <w:sz w:val="24"/>
          <w:szCs w:val="24"/>
          <w:lang w:val="en-US"/>
        </w:rPr>
        <w:t xml:space="preserve"> also depends on </w:t>
      </w:r>
      <w:r w:rsidR="00650281" w:rsidRPr="008210C1">
        <w:rPr>
          <w:rFonts w:ascii="Times New Roman" w:hAnsi="Times New Roman" w:cs="Times New Roman"/>
          <w:sz w:val="24"/>
          <w:szCs w:val="24"/>
          <w:lang w:val="en-US"/>
        </w:rPr>
        <w:t>them</w:t>
      </w:r>
      <w:r w:rsidR="00BA0397" w:rsidRPr="008210C1">
        <w:rPr>
          <w:rFonts w:ascii="Times New Roman" w:hAnsi="Times New Roman" w:cs="Times New Roman"/>
          <w:sz w:val="24"/>
          <w:szCs w:val="24"/>
          <w:lang w:val="en-US"/>
        </w:rPr>
        <w:t xml:space="preserve">. </w:t>
      </w:r>
    </w:p>
    <w:p w:rsidR="00606BEA" w:rsidRPr="008210C1" w:rsidRDefault="00BA0397"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Two further elements in the decision-making process</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are intuition and animal spirits. Intuition is a mechanism </w:t>
      </w:r>
      <w:r w:rsidR="00503A22" w:rsidRPr="008210C1">
        <w:rPr>
          <w:rFonts w:ascii="Times New Roman" w:hAnsi="Times New Roman" w:cs="Times New Roman"/>
          <w:sz w:val="24"/>
          <w:szCs w:val="24"/>
          <w:lang w:val="en-US"/>
        </w:rPr>
        <w:t>agents</w:t>
      </w:r>
      <w:r w:rsidRPr="008210C1">
        <w:rPr>
          <w:rFonts w:ascii="Times New Roman" w:hAnsi="Times New Roman" w:cs="Times New Roman"/>
          <w:sz w:val="24"/>
          <w:szCs w:val="24"/>
          <w:lang w:val="en-US"/>
        </w:rPr>
        <w:t xml:space="preserve"> use to subjectively mix material and abstract </w:t>
      </w:r>
      <w:r w:rsidR="0006350B" w:rsidRPr="008210C1">
        <w:rPr>
          <w:rFonts w:ascii="Times New Roman" w:hAnsi="Times New Roman" w:cs="Times New Roman"/>
          <w:sz w:val="24"/>
          <w:szCs w:val="24"/>
          <w:lang w:val="en-US"/>
        </w:rPr>
        <w:t xml:space="preserve">data </w:t>
      </w:r>
      <w:r w:rsidRPr="008210C1">
        <w:rPr>
          <w:rFonts w:ascii="Times New Roman" w:hAnsi="Times New Roman" w:cs="Times New Roman"/>
          <w:sz w:val="24"/>
          <w:szCs w:val="24"/>
          <w:lang w:val="en-US"/>
        </w:rPr>
        <w:t>(</w:t>
      </w:r>
      <w:r w:rsidR="0006350B" w:rsidRPr="008210C1">
        <w:rPr>
          <w:rFonts w:ascii="Times New Roman" w:hAnsi="Times New Roman" w:cs="Times New Roman"/>
          <w:sz w:val="24"/>
          <w:szCs w:val="24"/>
          <w:lang w:val="en-US"/>
        </w:rPr>
        <w:t>like</w:t>
      </w:r>
      <w:r w:rsidRPr="008210C1">
        <w:rPr>
          <w:rFonts w:ascii="Times New Roman" w:hAnsi="Times New Roman" w:cs="Times New Roman"/>
          <w:sz w:val="24"/>
          <w:szCs w:val="24"/>
          <w:lang w:val="en-US"/>
        </w:rPr>
        <w:t xml:space="preserve"> conventions) to</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reach conclusions.</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If entrepreneurs</w:t>
      </w:r>
      <w:r w:rsidR="0006350B"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w:t>
      </w:r>
      <w:r w:rsidR="0006350B" w:rsidRPr="008210C1">
        <w:rPr>
          <w:rFonts w:ascii="Times New Roman" w:hAnsi="Times New Roman" w:cs="Times New Roman"/>
          <w:sz w:val="24"/>
          <w:szCs w:val="24"/>
          <w:lang w:val="en-US"/>
        </w:rPr>
        <w:t>intuition finds a stimulating conclusion, a positive expectation about profiting</w:t>
      </w:r>
      <w:r w:rsidR="00503A22"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w:t>
      </w:r>
      <w:r w:rsidR="0006350B" w:rsidRPr="008210C1">
        <w:rPr>
          <w:rFonts w:ascii="Times New Roman" w:hAnsi="Times New Roman" w:cs="Times New Roman"/>
          <w:sz w:val="24"/>
          <w:szCs w:val="24"/>
          <w:lang w:val="en-US"/>
        </w:rPr>
        <w:t>they invest</w:t>
      </w:r>
      <w:r w:rsidRPr="008210C1">
        <w:rPr>
          <w:rFonts w:ascii="Times New Roman" w:hAnsi="Times New Roman" w:cs="Times New Roman"/>
          <w:sz w:val="24"/>
          <w:szCs w:val="24"/>
          <w:lang w:val="en-US"/>
        </w:rPr>
        <w:t xml:space="preserve">. </w:t>
      </w:r>
      <w:r w:rsidR="004274C7" w:rsidRPr="008210C1">
        <w:rPr>
          <w:rFonts w:ascii="Times New Roman" w:hAnsi="Times New Roman" w:cs="Times New Roman"/>
          <w:sz w:val="24"/>
          <w:szCs w:val="24"/>
          <w:lang w:val="en-US"/>
        </w:rPr>
        <w:t>So</w:t>
      </w:r>
      <w:r w:rsidR="00503A22" w:rsidRPr="008210C1">
        <w:rPr>
          <w:rFonts w:ascii="Times New Roman" w:hAnsi="Times New Roman" w:cs="Times New Roman"/>
          <w:sz w:val="24"/>
          <w:szCs w:val="24"/>
          <w:lang w:val="en-US"/>
        </w:rPr>
        <w:t>,</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they put i</w:t>
      </w:r>
      <w:r w:rsidR="004274C7" w:rsidRPr="008210C1">
        <w:rPr>
          <w:rFonts w:ascii="Times New Roman" w:hAnsi="Times New Roman" w:cs="Times New Roman"/>
          <w:sz w:val="24"/>
          <w:szCs w:val="24"/>
          <w:lang w:val="en-US"/>
        </w:rPr>
        <w:t>nto action their animal spirits,</w:t>
      </w:r>
      <w:r w:rsidRPr="008210C1">
        <w:rPr>
          <w:rFonts w:ascii="Times New Roman" w:hAnsi="Times New Roman" w:cs="Times New Roman"/>
          <w:sz w:val="24"/>
          <w:szCs w:val="24"/>
          <w:lang w:val="en-US"/>
        </w:rPr>
        <w:t xml:space="preserve"> a spontaneous optimism that leads </w:t>
      </w:r>
      <w:r w:rsidR="0006350B" w:rsidRPr="008210C1">
        <w:rPr>
          <w:rFonts w:ascii="Times New Roman" w:hAnsi="Times New Roman" w:cs="Times New Roman"/>
          <w:sz w:val="24"/>
          <w:szCs w:val="24"/>
          <w:lang w:val="en-US"/>
        </w:rPr>
        <w:t>them</w:t>
      </w:r>
      <w:r w:rsidRPr="008210C1">
        <w:rPr>
          <w:rFonts w:ascii="Times New Roman" w:hAnsi="Times New Roman" w:cs="Times New Roman"/>
          <w:sz w:val="24"/>
          <w:szCs w:val="24"/>
          <w:lang w:val="en-US"/>
        </w:rPr>
        <w:t xml:space="preserve"> to face the risks of investment </w:t>
      </w:r>
      <w:r w:rsidR="004274C7" w:rsidRPr="008210C1">
        <w:rPr>
          <w:rFonts w:ascii="Times New Roman" w:hAnsi="Times New Roman" w:cs="Times New Roman"/>
          <w:sz w:val="24"/>
          <w:szCs w:val="24"/>
          <w:lang w:val="en-US"/>
        </w:rPr>
        <w:t>(Carvalho, 2014)</w:t>
      </w:r>
      <w:r w:rsidRPr="008210C1">
        <w:rPr>
          <w:rFonts w:ascii="Times New Roman" w:hAnsi="Times New Roman" w:cs="Times New Roman"/>
          <w:sz w:val="24"/>
          <w:szCs w:val="24"/>
          <w:lang w:val="en-US"/>
        </w:rPr>
        <w:t>.</w:t>
      </w:r>
    </w:p>
    <w:p w:rsidR="004F2C9E" w:rsidRPr="008210C1" w:rsidRDefault="00BA0397"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Nevertheless,</w:t>
      </w:r>
      <w:r w:rsidR="00FB7871" w:rsidRPr="008210C1">
        <w:rPr>
          <w:rFonts w:ascii="Times New Roman" w:hAnsi="Times New Roman" w:cs="Times New Roman"/>
          <w:sz w:val="24"/>
          <w:szCs w:val="24"/>
          <w:lang w:val="en-US"/>
        </w:rPr>
        <w:t xml:space="preserve"> </w:t>
      </w:r>
      <w:r w:rsidR="0006350B" w:rsidRPr="008210C1">
        <w:rPr>
          <w:rFonts w:ascii="Times New Roman" w:hAnsi="Times New Roman" w:cs="Times New Roman"/>
          <w:sz w:val="24"/>
          <w:szCs w:val="24"/>
          <w:lang w:val="en-US"/>
        </w:rPr>
        <w:t xml:space="preserve">as a great number of independent decision units </w:t>
      </w:r>
      <w:r w:rsidRPr="008210C1">
        <w:rPr>
          <w:rFonts w:ascii="Times New Roman" w:hAnsi="Times New Roman" w:cs="Times New Roman"/>
          <w:sz w:val="24"/>
          <w:szCs w:val="24"/>
          <w:lang w:val="en-US"/>
        </w:rPr>
        <w:t>coexist</w:t>
      </w:r>
      <w:r w:rsidR="0006350B" w:rsidRPr="008210C1">
        <w:rPr>
          <w:rFonts w:ascii="Times New Roman" w:hAnsi="Times New Roman" w:cs="Times New Roman"/>
          <w:sz w:val="24"/>
          <w:szCs w:val="24"/>
          <w:lang w:val="en-US"/>
        </w:rPr>
        <w:t>s</w:t>
      </w:r>
      <w:r w:rsidRPr="008210C1">
        <w:rPr>
          <w:rFonts w:ascii="Times New Roman" w:hAnsi="Times New Roman" w:cs="Times New Roman"/>
          <w:sz w:val="24"/>
          <w:szCs w:val="24"/>
          <w:lang w:val="en-US"/>
        </w:rPr>
        <w:t xml:space="preserve">, </w:t>
      </w:r>
      <w:r w:rsidR="0006350B" w:rsidRPr="008210C1">
        <w:rPr>
          <w:rFonts w:ascii="Times New Roman" w:hAnsi="Times New Roman" w:cs="Times New Roman"/>
          <w:sz w:val="24"/>
          <w:szCs w:val="24"/>
          <w:lang w:val="en-US"/>
        </w:rPr>
        <w:t>i</w:t>
      </w:r>
      <w:r w:rsidRPr="008210C1">
        <w:rPr>
          <w:rFonts w:ascii="Times New Roman" w:eastAsia="Times New Roman" w:hAnsi="Times New Roman" w:cs="Times New Roman"/>
          <w:sz w:val="24"/>
          <w:szCs w:val="24"/>
          <w:lang w:val="en-US" w:eastAsia="pt-BR"/>
        </w:rPr>
        <w:t xml:space="preserve">f </w:t>
      </w:r>
      <w:r w:rsidR="00406895" w:rsidRPr="008210C1">
        <w:rPr>
          <w:rFonts w:ascii="Times New Roman" w:eastAsia="Times New Roman" w:hAnsi="Times New Roman" w:cs="Times New Roman"/>
          <w:sz w:val="24"/>
          <w:szCs w:val="24"/>
          <w:lang w:val="en-US" w:eastAsia="pt-BR"/>
        </w:rPr>
        <w:t>each</w:t>
      </w:r>
      <w:r w:rsidR="00811E5D" w:rsidRPr="008210C1">
        <w:rPr>
          <w:rFonts w:ascii="Times New Roman" w:eastAsia="Times New Roman" w:hAnsi="Times New Roman" w:cs="Times New Roman"/>
          <w:sz w:val="24"/>
          <w:szCs w:val="24"/>
          <w:lang w:val="en-US" w:eastAsia="pt-BR"/>
        </w:rPr>
        <w:t xml:space="preserve"> </w:t>
      </w:r>
      <w:r w:rsidR="00406895" w:rsidRPr="008210C1">
        <w:rPr>
          <w:rFonts w:ascii="Times New Roman" w:hAnsi="Times New Roman" w:cs="Times New Roman"/>
          <w:sz w:val="24"/>
          <w:szCs w:val="24"/>
          <w:lang w:val="en-US"/>
        </w:rPr>
        <w:t>decision-maker</w:t>
      </w:r>
      <w:r w:rsidR="00406895" w:rsidRPr="008210C1">
        <w:rPr>
          <w:rFonts w:ascii="Times New Roman" w:eastAsia="Times New Roman" w:hAnsi="Times New Roman" w:cs="Times New Roman"/>
          <w:sz w:val="24"/>
          <w:szCs w:val="24"/>
          <w:lang w:val="en-US" w:eastAsia="pt-BR"/>
        </w:rPr>
        <w:t xml:space="preserve"> does not account </w:t>
      </w:r>
      <w:r w:rsidR="007A42A2" w:rsidRPr="008210C1">
        <w:rPr>
          <w:rFonts w:ascii="Times New Roman" w:eastAsia="Times New Roman" w:hAnsi="Times New Roman" w:cs="Times New Roman"/>
          <w:sz w:val="24"/>
          <w:szCs w:val="24"/>
          <w:lang w:val="en-US" w:eastAsia="pt-BR"/>
        </w:rPr>
        <w:t xml:space="preserve">for </w:t>
      </w:r>
      <w:r w:rsidR="00406895" w:rsidRPr="008210C1">
        <w:rPr>
          <w:rFonts w:ascii="Times New Roman" w:eastAsia="Times New Roman" w:hAnsi="Times New Roman" w:cs="Times New Roman"/>
          <w:sz w:val="24"/>
          <w:szCs w:val="24"/>
          <w:lang w:val="en-US" w:eastAsia="pt-BR"/>
        </w:rPr>
        <w:t>the other’s expectations</w:t>
      </w:r>
      <w:r w:rsidRPr="008210C1">
        <w:rPr>
          <w:rFonts w:ascii="Times New Roman" w:eastAsia="Times New Roman" w:hAnsi="Times New Roman" w:cs="Times New Roman"/>
          <w:sz w:val="24"/>
          <w:szCs w:val="24"/>
          <w:lang w:val="en-US" w:eastAsia="pt-BR"/>
        </w:rPr>
        <w:t xml:space="preserve">, plans may not succeed and </w:t>
      </w:r>
      <w:r w:rsidRPr="008210C1">
        <w:rPr>
          <w:rFonts w:ascii="Times New Roman" w:eastAsia="Times New Roman" w:hAnsi="Times New Roman" w:cs="Times New Roman"/>
          <w:sz w:val="24"/>
          <w:szCs w:val="24"/>
          <w:lang w:val="en-GB"/>
        </w:rPr>
        <w:t>expectations</w:t>
      </w:r>
      <w:r w:rsidR="00811E5D" w:rsidRPr="008210C1">
        <w:rPr>
          <w:rFonts w:ascii="Times New Roman" w:eastAsia="Times New Roman" w:hAnsi="Times New Roman" w:cs="Times New Roman"/>
          <w:sz w:val="24"/>
          <w:szCs w:val="24"/>
          <w:lang w:val="en-GB"/>
        </w:rPr>
        <w:t xml:space="preserve"> </w:t>
      </w:r>
      <w:r w:rsidRPr="008210C1">
        <w:rPr>
          <w:rFonts w:ascii="Times New Roman" w:eastAsia="Times New Roman" w:hAnsi="Times New Roman" w:cs="Times New Roman"/>
          <w:sz w:val="24"/>
          <w:szCs w:val="24"/>
          <w:lang w:val="en-GB"/>
        </w:rPr>
        <w:t>would despair</w:t>
      </w:r>
      <w:r w:rsidRPr="008210C1">
        <w:rPr>
          <w:rFonts w:ascii="Times New Roman" w:hAnsi="Times New Roman" w:cs="Times New Roman"/>
          <w:sz w:val="24"/>
          <w:szCs w:val="24"/>
          <w:lang w:val="en-US"/>
        </w:rPr>
        <w:t xml:space="preserve">. </w:t>
      </w:r>
      <w:r w:rsidR="00406895" w:rsidRPr="008210C1">
        <w:rPr>
          <w:rFonts w:ascii="Times New Roman" w:hAnsi="Times New Roman" w:cs="Times New Roman"/>
          <w:sz w:val="24"/>
          <w:szCs w:val="24"/>
          <w:lang w:val="en-US"/>
        </w:rPr>
        <w:t>Consequently</w:t>
      </w:r>
      <w:r w:rsidR="007738EE" w:rsidRPr="008210C1">
        <w:rPr>
          <w:rFonts w:ascii="Times New Roman" w:hAnsi="Times New Roman" w:cs="Times New Roman"/>
          <w:sz w:val="24"/>
          <w:szCs w:val="24"/>
          <w:lang w:val="en-US"/>
        </w:rPr>
        <w:t>,</w:t>
      </w:r>
      <w:r w:rsidR="00811E5D" w:rsidRPr="008210C1">
        <w:rPr>
          <w:rFonts w:ascii="Times New Roman" w:hAnsi="Times New Roman" w:cs="Times New Roman"/>
          <w:sz w:val="24"/>
          <w:szCs w:val="24"/>
          <w:lang w:val="en-US"/>
        </w:rPr>
        <w:t xml:space="preserve"> </w:t>
      </w:r>
      <w:r w:rsidR="00406895" w:rsidRPr="008210C1">
        <w:rPr>
          <w:rFonts w:ascii="Times New Roman" w:hAnsi="Times New Roman" w:cs="Times New Roman"/>
          <w:sz w:val="24"/>
          <w:szCs w:val="24"/>
          <w:lang w:val="en-US"/>
        </w:rPr>
        <w:t xml:space="preserve">there is </w:t>
      </w:r>
      <w:r w:rsidRPr="008210C1">
        <w:rPr>
          <w:rFonts w:ascii="Times New Roman" w:hAnsi="Times New Roman" w:cs="Times New Roman"/>
          <w:sz w:val="24"/>
          <w:szCs w:val="24"/>
          <w:lang w:val="en-US"/>
        </w:rPr>
        <w:t xml:space="preserve">convergence </w:t>
      </w:r>
      <w:r w:rsidR="00330BB2" w:rsidRPr="008210C1">
        <w:rPr>
          <w:rFonts w:ascii="Times New Roman" w:hAnsi="Times New Roman" w:cs="Times New Roman"/>
          <w:sz w:val="24"/>
          <w:szCs w:val="24"/>
          <w:lang w:val="en-US"/>
        </w:rPr>
        <w:t xml:space="preserve">of </w:t>
      </w:r>
      <w:r w:rsidRPr="008210C1">
        <w:rPr>
          <w:rFonts w:ascii="Times New Roman" w:hAnsi="Times New Roman" w:cs="Times New Roman"/>
          <w:sz w:val="24"/>
          <w:szCs w:val="24"/>
          <w:lang w:val="en-US"/>
        </w:rPr>
        <w:t>expectations</w:t>
      </w:r>
      <w:r w:rsidR="007738EE" w:rsidRPr="008210C1">
        <w:rPr>
          <w:rFonts w:ascii="Times New Roman" w:hAnsi="Times New Roman" w:cs="Times New Roman"/>
          <w:sz w:val="24"/>
          <w:szCs w:val="24"/>
          <w:lang w:val="en-US"/>
        </w:rPr>
        <w:t xml:space="preserve">, giving room for convention as a belief shared by </w:t>
      </w:r>
      <w:r w:rsidR="0074220F" w:rsidRPr="008210C1">
        <w:rPr>
          <w:rFonts w:ascii="Times New Roman" w:hAnsi="Times New Roman" w:cs="Times New Roman"/>
          <w:sz w:val="24"/>
          <w:szCs w:val="24"/>
          <w:lang w:val="en-US"/>
        </w:rPr>
        <w:t>many</w:t>
      </w:r>
      <w:r w:rsidR="007738EE" w:rsidRPr="008210C1">
        <w:rPr>
          <w:rFonts w:ascii="Times New Roman" w:hAnsi="Times New Roman" w:cs="Times New Roman"/>
          <w:sz w:val="24"/>
          <w:szCs w:val="24"/>
          <w:lang w:val="en-US"/>
        </w:rPr>
        <w:t xml:space="preserve"> individuals </w:t>
      </w:r>
      <w:r w:rsidR="00D03681" w:rsidRPr="008210C1">
        <w:rPr>
          <w:rFonts w:ascii="Times New Roman" w:hAnsi="Times New Roman" w:cs="Times New Roman"/>
          <w:sz w:val="24"/>
          <w:szCs w:val="24"/>
          <w:lang w:val="en-US"/>
        </w:rPr>
        <w:t>and which they</w:t>
      </w:r>
      <w:r w:rsidRPr="008210C1">
        <w:rPr>
          <w:rFonts w:ascii="Times New Roman" w:hAnsi="Times New Roman" w:cs="Times New Roman"/>
          <w:sz w:val="24"/>
          <w:szCs w:val="24"/>
          <w:lang w:val="en-US"/>
        </w:rPr>
        <w:t xml:space="preserve"> </w:t>
      </w:r>
      <w:r w:rsidR="00D03681" w:rsidRPr="008210C1">
        <w:rPr>
          <w:rFonts w:ascii="Times New Roman" w:hAnsi="Times New Roman" w:cs="Times New Roman"/>
          <w:sz w:val="24"/>
          <w:szCs w:val="24"/>
          <w:lang w:val="en-US"/>
        </w:rPr>
        <w:t>consider</w:t>
      </w:r>
      <w:r w:rsidR="007A42A2"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for </w:t>
      </w:r>
      <w:r w:rsidR="00D03681" w:rsidRPr="008210C1">
        <w:rPr>
          <w:rFonts w:ascii="Times New Roman" w:hAnsi="Times New Roman" w:cs="Times New Roman"/>
          <w:sz w:val="24"/>
          <w:szCs w:val="24"/>
          <w:lang w:val="en-US"/>
        </w:rPr>
        <w:t>their</w:t>
      </w:r>
      <w:r w:rsidRPr="008210C1">
        <w:rPr>
          <w:rFonts w:ascii="Times New Roman" w:hAnsi="Times New Roman" w:cs="Times New Roman"/>
          <w:sz w:val="24"/>
          <w:szCs w:val="24"/>
          <w:lang w:val="en-US"/>
        </w:rPr>
        <w:t xml:space="preserve"> state of confidence upon which </w:t>
      </w:r>
      <w:r w:rsidR="00D03681" w:rsidRPr="008210C1">
        <w:rPr>
          <w:rFonts w:ascii="Times New Roman" w:hAnsi="Times New Roman" w:cs="Times New Roman"/>
          <w:sz w:val="24"/>
          <w:szCs w:val="24"/>
          <w:lang w:val="en-US"/>
        </w:rPr>
        <w:t>they</w:t>
      </w:r>
      <w:r w:rsidRPr="008210C1">
        <w:rPr>
          <w:rFonts w:ascii="Times New Roman" w:hAnsi="Times New Roman" w:cs="Times New Roman"/>
          <w:sz w:val="24"/>
          <w:szCs w:val="24"/>
          <w:lang w:val="en-US"/>
        </w:rPr>
        <w:t xml:space="preserve"> reason</w:t>
      </w:r>
      <w:r w:rsidR="0074220F" w:rsidRPr="008210C1">
        <w:rPr>
          <w:rFonts w:ascii="Times New Roman" w:hAnsi="Times New Roman" w:cs="Times New Roman"/>
          <w:sz w:val="24"/>
          <w:szCs w:val="24"/>
          <w:lang w:val="en-US"/>
        </w:rPr>
        <w:t xml:space="preserve"> prospects</w:t>
      </w:r>
      <w:r w:rsidRPr="008210C1">
        <w:rPr>
          <w:rFonts w:ascii="Times New Roman" w:hAnsi="Times New Roman" w:cs="Times New Roman"/>
          <w:sz w:val="24"/>
          <w:szCs w:val="24"/>
          <w:lang w:val="en-US"/>
        </w:rPr>
        <w:t xml:space="preserve"> </w:t>
      </w:r>
      <w:r w:rsidR="00073E25" w:rsidRPr="008210C1">
        <w:rPr>
          <w:rFonts w:ascii="Times New Roman" w:hAnsi="Times New Roman" w:cs="Times New Roman"/>
          <w:sz w:val="24"/>
          <w:szCs w:val="24"/>
          <w:lang w:val="en-US"/>
        </w:rPr>
        <w:t>(Carvalho, 2014)</w:t>
      </w:r>
      <w:r w:rsidR="00AD1000" w:rsidRPr="008210C1">
        <w:rPr>
          <w:rFonts w:ascii="Times New Roman" w:hAnsi="Times New Roman" w:cs="Times New Roman"/>
          <w:sz w:val="24"/>
          <w:szCs w:val="24"/>
          <w:lang w:val="en-US"/>
        </w:rPr>
        <w:t>.</w:t>
      </w:r>
    </w:p>
    <w:p w:rsidR="00491734" w:rsidRPr="008210C1" w:rsidRDefault="00491734" w:rsidP="008210C1">
      <w:pPr>
        <w:spacing w:after="0" w:line="240" w:lineRule="auto"/>
        <w:ind w:firstLine="709"/>
        <w:jc w:val="both"/>
        <w:rPr>
          <w:rFonts w:ascii="Times New Roman" w:hAnsi="Times New Roman" w:cs="Times New Roman"/>
          <w:sz w:val="24"/>
          <w:szCs w:val="24"/>
          <w:lang w:val="en-US"/>
        </w:rPr>
      </w:pPr>
    </w:p>
    <w:p w:rsidR="00DB7E2D" w:rsidRPr="008210C1" w:rsidRDefault="00212135" w:rsidP="008210C1">
      <w:pPr>
        <w:spacing w:line="240" w:lineRule="auto"/>
        <w:jc w:val="both"/>
        <w:outlineLvl w:val="0"/>
        <w:rPr>
          <w:rFonts w:ascii="Times New Roman" w:hAnsi="Times New Roman" w:cs="Times New Roman"/>
          <w:b/>
          <w:i/>
          <w:sz w:val="24"/>
          <w:szCs w:val="24"/>
          <w:lang w:val="en-US"/>
        </w:rPr>
      </w:pPr>
      <w:r w:rsidRPr="008210C1">
        <w:rPr>
          <w:rFonts w:ascii="Times New Roman" w:hAnsi="Times New Roman" w:cs="Times New Roman"/>
          <w:b/>
          <w:i/>
          <w:sz w:val="24"/>
          <w:szCs w:val="24"/>
          <w:lang w:val="en-US"/>
        </w:rPr>
        <w:t xml:space="preserve">2.2 </w:t>
      </w:r>
      <w:r w:rsidR="00085594" w:rsidRPr="008210C1">
        <w:rPr>
          <w:rFonts w:ascii="Times New Roman" w:hAnsi="Times New Roman" w:cs="Times New Roman"/>
          <w:b/>
          <w:i/>
          <w:sz w:val="24"/>
          <w:szCs w:val="24"/>
          <w:lang w:val="en-US"/>
        </w:rPr>
        <w:t>The role of</w:t>
      </w:r>
      <w:r w:rsidR="00BA0397" w:rsidRPr="008210C1">
        <w:rPr>
          <w:rFonts w:ascii="Times New Roman" w:hAnsi="Times New Roman" w:cs="Times New Roman"/>
          <w:b/>
          <w:i/>
          <w:sz w:val="24"/>
          <w:szCs w:val="24"/>
          <w:lang w:val="en-US"/>
        </w:rPr>
        <w:t xml:space="preserve"> </w:t>
      </w:r>
      <w:r w:rsidRPr="008210C1">
        <w:rPr>
          <w:rFonts w:ascii="Times New Roman" w:hAnsi="Times New Roman" w:cs="Times New Roman"/>
          <w:b/>
          <w:i/>
          <w:sz w:val="24"/>
          <w:szCs w:val="24"/>
          <w:lang w:val="en-US"/>
        </w:rPr>
        <w:t>government</w:t>
      </w:r>
      <w:r w:rsidR="00085594" w:rsidRPr="008210C1">
        <w:rPr>
          <w:rFonts w:ascii="Times New Roman" w:hAnsi="Times New Roman" w:cs="Times New Roman"/>
          <w:b/>
          <w:i/>
          <w:sz w:val="24"/>
          <w:szCs w:val="24"/>
          <w:lang w:val="en-US"/>
        </w:rPr>
        <w:t xml:space="preserve"> in</w:t>
      </w:r>
      <w:r w:rsidRPr="008210C1">
        <w:rPr>
          <w:rFonts w:ascii="Times New Roman" w:hAnsi="Times New Roman" w:cs="Times New Roman"/>
          <w:b/>
          <w:i/>
          <w:sz w:val="24"/>
          <w:szCs w:val="24"/>
          <w:lang w:val="en-US"/>
        </w:rPr>
        <w:t xml:space="preserve"> </w:t>
      </w:r>
      <w:r w:rsidR="00085594" w:rsidRPr="008210C1">
        <w:rPr>
          <w:rFonts w:ascii="Times New Roman" w:hAnsi="Times New Roman" w:cs="Times New Roman"/>
          <w:b/>
          <w:i/>
          <w:sz w:val="24"/>
          <w:szCs w:val="24"/>
          <w:lang w:val="en-US"/>
        </w:rPr>
        <w:t xml:space="preserve">framing </w:t>
      </w:r>
      <w:r w:rsidRPr="008210C1">
        <w:rPr>
          <w:rFonts w:ascii="Times New Roman" w:hAnsi="Times New Roman" w:cs="Times New Roman"/>
          <w:b/>
          <w:i/>
          <w:sz w:val="24"/>
          <w:szCs w:val="24"/>
          <w:lang w:val="en-US"/>
        </w:rPr>
        <w:t>conventions</w:t>
      </w:r>
    </w:p>
    <w:p w:rsidR="004F2C9E" w:rsidRPr="008210C1" w:rsidRDefault="006D75F5"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C</w:t>
      </w:r>
      <w:r w:rsidR="00BA0397" w:rsidRPr="008210C1">
        <w:rPr>
          <w:rFonts w:ascii="Times New Roman" w:hAnsi="Times New Roman" w:cs="Times New Roman"/>
          <w:sz w:val="24"/>
          <w:szCs w:val="24"/>
          <w:lang w:val="en-US"/>
        </w:rPr>
        <w:t>onvention and conventional behavior are relevant</w:t>
      </w:r>
      <w:r w:rsidR="00AD1000"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 xml:space="preserve">elements within the core assumptions </w:t>
      </w:r>
      <w:r w:rsidR="0074220F" w:rsidRPr="008210C1">
        <w:rPr>
          <w:rFonts w:ascii="Times New Roman" w:hAnsi="Times New Roman" w:cs="Times New Roman"/>
          <w:sz w:val="24"/>
          <w:szCs w:val="24"/>
          <w:lang w:val="en-US"/>
        </w:rPr>
        <w:t>of</w:t>
      </w:r>
      <w:r w:rsidR="00BA0397" w:rsidRPr="008210C1">
        <w:rPr>
          <w:rFonts w:ascii="Times New Roman" w:hAnsi="Times New Roman" w:cs="Times New Roman"/>
          <w:sz w:val="24"/>
          <w:szCs w:val="24"/>
          <w:lang w:val="en-US"/>
        </w:rPr>
        <w:t xml:space="preserve"> Keynes</w:t>
      </w:r>
      <w:r w:rsidR="0074220F" w:rsidRPr="008210C1">
        <w:rPr>
          <w:rFonts w:ascii="Times New Roman" w:hAnsi="Times New Roman" w:cs="Times New Roman"/>
          <w:sz w:val="24"/>
          <w:szCs w:val="24"/>
          <w:lang w:val="en-US"/>
        </w:rPr>
        <w:t>’s</w:t>
      </w:r>
      <w:r w:rsidR="00BA0397" w:rsidRPr="008210C1">
        <w:rPr>
          <w:rFonts w:ascii="Times New Roman" w:hAnsi="Times New Roman" w:cs="Times New Roman"/>
          <w:sz w:val="24"/>
          <w:szCs w:val="24"/>
          <w:lang w:val="en-US"/>
        </w:rPr>
        <w:t xml:space="preserve"> General Theory</w:t>
      </w:r>
      <w:r w:rsidR="007E6483" w:rsidRPr="008210C1">
        <w:rPr>
          <w:rFonts w:ascii="Times New Roman" w:hAnsi="Times New Roman" w:cs="Times New Roman"/>
          <w:sz w:val="24"/>
          <w:szCs w:val="24"/>
          <w:lang w:val="en-US"/>
        </w:rPr>
        <w:t xml:space="preserve"> (GT)</w:t>
      </w:r>
      <w:r w:rsidR="0056667C"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w:t>
      </w:r>
      <w:proofErr w:type="spellStart"/>
      <w:r w:rsidR="00BA0397" w:rsidRPr="008210C1">
        <w:rPr>
          <w:rFonts w:ascii="Times New Roman" w:hAnsi="Times New Roman" w:cs="Times New Roman"/>
          <w:sz w:val="24"/>
          <w:szCs w:val="24"/>
          <w:lang w:val="en-US"/>
        </w:rPr>
        <w:t>Modenesi</w:t>
      </w:r>
      <w:proofErr w:type="spellEnd"/>
      <w:r w:rsidR="00BA0397" w:rsidRPr="008210C1">
        <w:rPr>
          <w:rFonts w:ascii="Times New Roman" w:hAnsi="Times New Roman" w:cs="Times New Roman"/>
          <w:sz w:val="24"/>
          <w:szCs w:val="24"/>
          <w:lang w:val="en-US"/>
        </w:rPr>
        <w:t xml:space="preserve"> et al</w:t>
      </w:r>
      <w:r w:rsidR="003F4B56" w:rsidRPr="008210C1">
        <w:rPr>
          <w:rFonts w:ascii="Times New Roman" w:hAnsi="Times New Roman" w:cs="Times New Roman"/>
          <w:sz w:val="24"/>
          <w:szCs w:val="24"/>
          <w:lang w:val="en-US"/>
        </w:rPr>
        <w:t>.</w:t>
      </w:r>
      <w:r w:rsidR="00BA0397" w:rsidRPr="008210C1">
        <w:rPr>
          <w:rFonts w:ascii="Times New Roman" w:hAnsi="Times New Roman" w:cs="Times New Roman"/>
          <w:sz w:val="24"/>
          <w:szCs w:val="24"/>
          <w:lang w:val="en-US"/>
        </w:rPr>
        <w:t>, 2012).</w:t>
      </w:r>
      <w:r w:rsidR="00BA0397" w:rsidRPr="008210C1">
        <w:rPr>
          <w:rStyle w:val="Refdenotaderodap"/>
          <w:rFonts w:ascii="Times New Roman" w:hAnsi="Times New Roman" w:cs="Times New Roman"/>
          <w:sz w:val="24"/>
          <w:szCs w:val="24"/>
          <w:lang w:val="en-US"/>
        </w:rPr>
        <w:footnoteReference w:id="2"/>
      </w:r>
      <w:r w:rsidR="00811E5D" w:rsidRPr="008210C1">
        <w:rPr>
          <w:rFonts w:ascii="Times New Roman" w:hAnsi="Times New Roman" w:cs="Times New Roman"/>
          <w:sz w:val="24"/>
          <w:szCs w:val="24"/>
          <w:lang w:val="en-US"/>
        </w:rPr>
        <w:t xml:space="preserve"> </w:t>
      </w:r>
      <w:r w:rsidR="007E6483" w:rsidRPr="008210C1">
        <w:rPr>
          <w:rFonts w:ascii="Times New Roman" w:hAnsi="Times New Roman" w:cs="Times New Roman"/>
          <w:sz w:val="24"/>
          <w:szCs w:val="24"/>
          <w:lang w:val="en-US"/>
        </w:rPr>
        <w:t>C</w:t>
      </w:r>
      <w:r w:rsidR="00BA0397" w:rsidRPr="008210C1">
        <w:rPr>
          <w:rFonts w:ascii="Times New Roman" w:hAnsi="Times New Roman" w:cs="Times New Roman"/>
          <w:sz w:val="24"/>
          <w:szCs w:val="24"/>
          <w:lang w:val="en-US"/>
        </w:rPr>
        <w:t>onvention</w:t>
      </w:r>
      <w:r w:rsidR="00CF30E7" w:rsidRPr="008210C1">
        <w:rPr>
          <w:rFonts w:ascii="Times New Roman" w:hAnsi="Times New Roman" w:cs="Times New Roman"/>
          <w:sz w:val="24"/>
          <w:szCs w:val="24"/>
          <w:lang w:val="en-US"/>
        </w:rPr>
        <w:t xml:space="preserve"> matters for the </w:t>
      </w:r>
      <w:r w:rsidR="007E6483" w:rsidRPr="008210C1">
        <w:rPr>
          <w:rFonts w:ascii="Times New Roman" w:hAnsi="Times New Roman" w:cs="Times New Roman"/>
          <w:sz w:val="24"/>
          <w:szCs w:val="24"/>
          <w:lang w:val="en-US"/>
        </w:rPr>
        <w:t xml:space="preserve">agents’ </w:t>
      </w:r>
      <w:r w:rsidR="00BA0397" w:rsidRPr="008210C1">
        <w:rPr>
          <w:rFonts w:ascii="Times New Roman" w:hAnsi="Times New Roman" w:cs="Times New Roman"/>
          <w:sz w:val="24"/>
          <w:szCs w:val="24"/>
          <w:lang w:val="en-US"/>
        </w:rPr>
        <w:t>state of confidence</w:t>
      </w:r>
      <w:r w:rsidR="00D153B8" w:rsidRPr="008210C1">
        <w:rPr>
          <w:rFonts w:ascii="Times New Roman" w:hAnsi="Times New Roman" w:cs="Times New Roman"/>
          <w:sz w:val="24"/>
          <w:szCs w:val="24"/>
          <w:lang w:val="en-US"/>
        </w:rPr>
        <w:t>, but their belief</w:t>
      </w:r>
      <w:r w:rsidR="003F4B56" w:rsidRPr="008210C1">
        <w:rPr>
          <w:rFonts w:ascii="Times New Roman" w:eastAsia="Times New Roman" w:hAnsi="Times New Roman" w:cs="Times New Roman"/>
          <w:sz w:val="24"/>
          <w:szCs w:val="24"/>
          <w:lang w:val="en-US" w:eastAsia="pt-BR"/>
        </w:rPr>
        <w:t xml:space="preserve"> </w:t>
      </w:r>
      <w:r w:rsidR="00BA0397" w:rsidRPr="008210C1">
        <w:rPr>
          <w:rFonts w:ascii="Times New Roman" w:eastAsia="Times New Roman" w:hAnsi="Times New Roman" w:cs="Times New Roman"/>
          <w:sz w:val="24"/>
          <w:szCs w:val="24"/>
          <w:lang w:val="en-US" w:eastAsia="pt-BR"/>
        </w:rPr>
        <w:t>may change</w:t>
      </w:r>
      <w:r w:rsidR="00811E5D" w:rsidRPr="008210C1">
        <w:rPr>
          <w:rFonts w:ascii="Times New Roman" w:eastAsia="Times New Roman" w:hAnsi="Times New Roman" w:cs="Times New Roman"/>
          <w:sz w:val="24"/>
          <w:szCs w:val="24"/>
          <w:lang w:val="en-US" w:eastAsia="pt-BR"/>
        </w:rPr>
        <w:t xml:space="preserve"> </w:t>
      </w:r>
      <w:r w:rsidR="00FB2DAC" w:rsidRPr="008210C1">
        <w:rPr>
          <w:rFonts w:ascii="Times New Roman" w:eastAsia="Times New Roman" w:hAnsi="Times New Roman" w:cs="Times New Roman"/>
          <w:sz w:val="24"/>
          <w:szCs w:val="24"/>
          <w:lang w:val="en-US" w:eastAsia="pt-BR"/>
        </w:rPr>
        <w:t>over</w:t>
      </w:r>
      <w:r w:rsidR="00BA0397" w:rsidRPr="008210C1">
        <w:rPr>
          <w:rFonts w:ascii="Times New Roman" w:eastAsia="Times New Roman" w:hAnsi="Times New Roman" w:cs="Times New Roman"/>
          <w:sz w:val="24"/>
          <w:szCs w:val="24"/>
          <w:lang w:val="en-US" w:eastAsia="pt-BR"/>
        </w:rPr>
        <w:t xml:space="preserve"> time, showing the fragile basis upon which individuals </w:t>
      </w:r>
      <w:r w:rsidR="00FB2DAC" w:rsidRPr="008210C1">
        <w:rPr>
          <w:rFonts w:ascii="Times New Roman" w:eastAsia="Times New Roman" w:hAnsi="Times New Roman" w:cs="Times New Roman"/>
          <w:sz w:val="24"/>
          <w:szCs w:val="24"/>
          <w:lang w:val="en-US" w:eastAsia="pt-BR"/>
        </w:rPr>
        <w:t xml:space="preserve">form </w:t>
      </w:r>
      <w:r w:rsidR="00BA0397" w:rsidRPr="008210C1">
        <w:rPr>
          <w:rFonts w:ascii="Times New Roman" w:eastAsia="Times New Roman" w:hAnsi="Times New Roman" w:cs="Times New Roman"/>
          <w:sz w:val="24"/>
          <w:szCs w:val="24"/>
          <w:lang w:val="en-US" w:eastAsia="pt-BR"/>
        </w:rPr>
        <w:t xml:space="preserve">expectations </w:t>
      </w:r>
      <w:r w:rsidR="004C234A" w:rsidRPr="008210C1">
        <w:rPr>
          <w:rFonts w:ascii="Times New Roman" w:eastAsia="Times New Roman" w:hAnsi="Times New Roman" w:cs="Times New Roman"/>
          <w:sz w:val="24"/>
          <w:szCs w:val="24"/>
          <w:lang w:val="en-US" w:eastAsia="pt-BR"/>
        </w:rPr>
        <w:t>under</w:t>
      </w:r>
      <w:r w:rsidR="00AC3589" w:rsidRPr="008210C1">
        <w:rPr>
          <w:rFonts w:ascii="Times New Roman" w:eastAsia="Times New Roman" w:hAnsi="Times New Roman" w:cs="Times New Roman"/>
          <w:sz w:val="24"/>
          <w:szCs w:val="24"/>
          <w:lang w:val="en-US" w:eastAsia="pt-BR"/>
        </w:rPr>
        <w:t xml:space="preserve"> uncertainty</w:t>
      </w:r>
      <w:r w:rsidR="00BA0397" w:rsidRPr="008210C1">
        <w:rPr>
          <w:rFonts w:ascii="Times New Roman" w:eastAsia="Times New Roman" w:hAnsi="Times New Roman" w:cs="Times New Roman"/>
          <w:sz w:val="24"/>
          <w:szCs w:val="24"/>
          <w:lang w:val="en-US" w:eastAsia="pt-BR"/>
        </w:rPr>
        <w:t>.</w:t>
      </w:r>
      <w:r w:rsidR="00BA0397" w:rsidRPr="008210C1">
        <w:rPr>
          <w:rStyle w:val="Refdenotaderodap"/>
          <w:rFonts w:ascii="Times New Roman" w:eastAsia="Times New Roman" w:hAnsi="Times New Roman" w:cs="Times New Roman"/>
          <w:sz w:val="24"/>
          <w:szCs w:val="24"/>
          <w:lang w:val="en-US" w:eastAsia="pt-BR"/>
        </w:rPr>
        <w:footnoteReference w:id="3"/>
      </w:r>
      <w:r w:rsidR="00197439" w:rsidRPr="008210C1">
        <w:rPr>
          <w:rFonts w:ascii="Times New Roman" w:eastAsia="Times New Roman" w:hAnsi="Times New Roman" w:cs="Times New Roman"/>
          <w:sz w:val="24"/>
          <w:szCs w:val="24"/>
          <w:lang w:val="en-US" w:eastAsia="pt-BR"/>
        </w:rPr>
        <w:t xml:space="preserve"> </w:t>
      </w:r>
      <w:r w:rsidR="00BA0397" w:rsidRPr="008210C1">
        <w:rPr>
          <w:rFonts w:ascii="Times New Roman" w:eastAsia="Times New Roman" w:hAnsi="Times New Roman" w:cs="Times New Roman"/>
          <w:sz w:val="24"/>
          <w:szCs w:val="24"/>
          <w:lang w:val="en-US" w:eastAsia="pt-BR"/>
        </w:rPr>
        <w:t>Then,</w:t>
      </w:r>
      <w:r w:rsidR="00197439" w:rsidRPr="008210C1">
        <w:rPr>
          <w:rFonts w:ascii="Times New Roman" w:eastAsia="Times New Roman" w:hAnsi="Times New Roman" w:cs="Times New Roman"/>
          <w:sz w:val="24"/>
          <w:szCs w:val="24"/>
          <w:lang w:val="en-US" w:eastAsia="pt-BR"/>
        </w:rPr>
        <w:t xml:space="preserve"> </w:t>
      </w:r>
      <w:r w:rsidR="00BA0397" w:rsidRPr="008210C1">
        <w:rPr>
          <w:rFonts w:ascii="Times New Roman" w:eastAsia="Times New Roman" w:hAnsi="Times New Roman" w:cs="Times New Roman"/>
          <w:sz w:val="24"/>
          <w:szCs w:val="24"/>
          <w:lang w:val="en-US" w:eastAsia="pt-BR"/>
        </w:rPr>
        <w:t>which</w:t>
      </w:r>
      <w:r w:rsidR="00FB2DAC" w:rsidRPr="008210C1">
        <w:rPr>
          <w:rFonts w:ascii="Times New Roman" w:eastAsia="Times New Roman" w:hAnsi="Times New Roman" w:cs="Times New Roman"/>
          <w:sz w:val="24"/>
          <w:szCs w:val="24"/>
          <w:lang w:val="en-US" w:eastAsia="pt-BR"/>
        </w:rPr>
        <w:t xml:space="preserve"> are the forces</w:t>
      </w:r>
      <w:r w:rsidR="00C14C35" w:rsidRPr="008210C1">
        <w:rPr>
          <w:rFonts w:ascii="Times New Roman" w:eastAsia="Times New Roman" w:hAnsi="Times New Roman" w:cs="Times New Roman"/>
          <w:sz w:val="24"/>
          <w:szCs w:val="24"/>
          <w:lang w:val="en-US" w:eastAsia="pt-BR"/>
        </w:rPr>
        <w:t xml:space="preserve"> that guide or influence</w:t>
      </w:r>
      <w:r w:rsidR="00811E5D" w:rsidRPr="008210C1">
        <w:rPr>
          <w:rFonts w:ascii="Times New Roman" w:eastAsia="Times New Roman" w:hAnsi="Times New Roman" w:cs="Times New Roman"/>
          <w:sz w:val="24"/>
          <w:szCs w:val="24"/>
          <w:lang w:val="en-US" w:eastAsia="pt-BR"/>
        </w:rPr>
        <w:t xml:space="preserve"> </w:t>
      </w:r>
      <w:r w:rsidR="00BA0397" w:rsidRPr="008210C1">
        <w:rPr>
          <w:rFonts w:ascii="Times New Roman" w:eastAsia="Times New Roman" w:hAnsi="Times New Roman" w:cs="Times New Roman"/>
          <w:sz w:val="24"/>
          <w:szCs w:val="24"/>
          <w:lang w:val="en-US" w:eastAsia="pt-BR"/>
        </w:rPr>
        <w:t xml:space="preserve">conventions? Does </w:t>
      </w:r>
      <w:r w:rsidR="001F5B58" w:rsidRPr="008210C1">
        <w:rPr>
          <w:rFonts w:ascii="Times New Roman" w:eastAsia="Times New Roman" w:hAnsi="Times New Roman" w:cs="Times New Roman"/>
          <w:sz w:val="24"/>
          <w:szCs w:val="24"/>
          <w:lang w:val="en-US" w:eastAsia="pt-BR"/>
        </w:rPr>
        <w:t>government</w:t>
      </w:r>
      <w:r w:rsidR="00811E5D" w:rsidRPr="008210C1">
        <w:rPr>
          <w:rFonts w:ascii="Times New Roman" w:eastAsia="Times New Roman" w:hAnsi="Times New Roman" w:cs="Times New Roman"/>
          <w:sz w:val="24"/>
          <w:szCs w:val="24"/>
          <w:lang w:val="en-US" w:eastAsia="pt-BR"/>
        </w:rPr>
        <w:t xml:space="preserve"> </w:t>
      </w:r>
      <w:r w:rsidR="00BA0397" w:rsidRPr="008210C1">
        <w:rPr>
          <w:rFonts w:ascii="Times New Roman" w:eastAsia="Times New Roman" w:hAnsi="Times New Roman" w:cs="Times New Roman"/>
          <w:sz w:val="24"/>
          <w:szCs w:val="24"/>
          <w:lang w:val="en-US" w:eastAsia="pt-BR"/>
        </w:rPr>
        <w:t>play a role in the raise and maintenance of a given convention?</w:t>
      </w:r>
      <w:r w:rsidR="00D153B8" w:rsidRPr="008210C1">
        <w:rPr>
          <w:rFonts w:ascii="Times New Roman" w:eastAsia="Times New Roman" w:hAnsi="Times New Roman" w:cs="Times New Roman"/>
          <w:sz w:val="24"/>
          <w:szCs w:val="24"/>
          <w:lang w:val="en-US" w:eastAsia="pt-BR"/>
        </w:rPr>
        <w:t xml:space="preserve"> </w:t>
      </w:r>
      <w:r w:rsidR="008475C3" w:rsidRPr="008210C1">
        <w:rPr>
          <w:rFonts w:ascii="Times New Roman" w:eastAsia="Times New Roman" w:hAnsi="Times New Roman" w:cs="Times New Roman"/>
          <w:sz w:val="24"/>
          <w:szCs w:val="24"/>
          <w:lang w:val="en-US" w:eastAsia="pt-BR"/>
        </w:rPr>
        <w:t>Al</w:t>
      </w:r>
      <w:r w:rsidR="0054198E" w:rsidRPr="008210C1">
        <w:rPr>
          <w:rFonts w:ascii="Times New Roman" w:eastAsia="Times New Roman" w:hAnsi="Times New Roman" w:cs="Times New Roman"/>
          <w:sz w:val="24"/>
          <w:szCs w:val="24"/>
          <w:lang w:val="en-US" w:eastAsia="pt-BR"/>
        </w:rPr>
        <w:t>though</w:t>
      </w:r>
      <w:r w:rsidR="007E6483" w:rsidRPr="008210C1">
        <w:rPr>
          <w:rFonts w:ascii="Times New Roman" w:eastAsia="Times New Roman" w:hAnsi="Times New Roman" w:cs="Times New Roman"/>
          <w:sz w:val="24"/>
          <w:szCs w:val="24"/>
          <w:lang w:val="en-US" w:eastAsia="pt-BR"/>
        </w:rPr>
        <w:t xml:space="preserve"> </w:t>
      </w:r>
      <w:r w:rsidR="00BA0397" w:rsidRPr="008210C1">
        <w:rPr>
          <w:rFonts w:ascii="Times New Roman" w:hAnsi="Times New Roman" w:cs="Times New Roman"/>
          <w:sz w:val="24"/>
          <w:szCs w:val="24"/>
          <w:lang w:val="en-US"/>
        </w:rPr>
        <w:t xml:space="preserve">Keynes </w:t>
      </w:r>
      <w:r w:rsidR="00B6671B" w:rsidRPr="008210C1">
        <w:rPr>
          <w:rFonts w:ascii="Times New Roman" w:hAnsi="Times New Roman" w:cs="Times New Roman"/>
          <w:sz w:val="24"/>
          <w:szCs w:val="24"/>
          <w:lang w:val="en-US"/>
        </w:rPr>
        <w:t>has</w:t>
      </w:r>
      <w:r w:rsidR="00BA0397" w:rsidRPr="008210C1">
        <w:rPr>
          <w:rFonts w:ascii="Times New Roman" w:hAnsi="Times New Roman" w:cs="Times New Roman"/>
          <w:sz w:val="24"/>
          <w:szCs w:val="24"/>
          <w:lang w:val="en-US"/>
        </w:rPr>
        <w:t xml:space="preserve"> not explicitly formulat</w:t>
      </w:r>
      <w:r w:rsidR="007E6483" w:rsidRPr="008210C1">
        <w:rPr>
          <w:rFonts w:ascii="Times New Roman" w:hAnsi="Times New Roman" w:cs="Times New Roman"/>
          <w:sz w:val="24"/>
          <w:szCs w:val="24"/>
          <w:lang w:val="en-US"/>
        </w:rPr>
        <w:t>e</w:t>
      </w:r>
      <w:r w:rsidR="00B6671B" w:rsidRPr="008210C1">
        <w:rPr>
          <w:rFonts w:ascii="Times New Roman" w:hAnsi="Times New Roman" w:cs="Times New Roman"/>
          <w:sz w:val="24"/>
          <w:szCs w:val="24"/>
          <w:lang w:val="en-US"/>
        </w:rPr>
        <w:t>d</w:t>
      </w:r>
      <w:r w:rsidR="00BA0397" w:rsidRPr="008210C1">
        <w:rPr>
          <w:rFonts w:ascii="Times New Roman" w:hAnsi="Times New Roman" w:cs="Times New Roman"/>
          <w:sz w:val="24"/>
          <w:szCs w:val="24"/>
          <w:lang w:val="en-US"/>
        </w:rPr>
        <w:t xml:space="preserve"> the </w:t>
      </w:r>
      <w:r w:rsidR="008475C3" w:rsidRPr="008210C1">
        <w:rPr>
          <w:rFonts w:ascii="Times New Roman" w:hAnsi="Times New Roman" w:cs="Times New Roman"/>
          <w:sz w:val="24"/>
          <w:szCs w:val="24"/>
          <w:lang w:val="en-US"/>
        </w:rPr>
        <w:t xml:space="preserve">connection </w:t>
      </w:r>
      <w:r w:rsidR="00BA0397" w:rsidRPr="008210C1">
        <w:rPr>
          <w:rFonts w:ascii="Times New Roman" w:hAnsi="Times New Roman" w:cs="Times New Roman"/>
          <w:sz w:val="24"/>
          <w:szCs w:val="24"/>
          <w:lang w:val="en-US"/>
        </w:rPr>
        <w:t>between</w:t>
      </w:r>
      <w:r w:rsidR="00B6671B" w:rsidRPr="008210C1">
        <w:rPr>
          <w:rFonts w:ascii="Times New Roman" w:hAnsi="Times New Roman" w:cs="Times New Roman"/>
          <w:sz w:val="24"/>
          <w:szCs w:val="24"/>
          <w:lang w:val="en-US"/>
        </w:rPr>
        <w:t xml:space="preserve"> the</w:t>
      </w:r>
      <w:r w:rsidR="00BA0397" w:rsidRPr="008210C1">
        <w:rPr>
          <w:rFonts w:ascii="Times New Roman" w:hAnsi="Times New Roman" w:cs="Times New Roman"/>
          <w:sz w:val="24"/>
          <w:szCs w:val="24"/>
          <w:lang w:val="en-US"/>
        </w:rPr>
        <w:t xml:space="preserve"> </w:t>
      </w:r>
      <w:r w:rsidR="001F5B58" w:rsidRPr="008210C1">
        <w:rPr>
          <w:rFonts w:ascii="Times New Roman" w:hAnsi="Times New Roman" w:cs="Times New Roman"/>
          <w:sz w:val="24"/>
          <w:szCs w:val="24"/>
          <w:lang w:val="en-US"/>
        </w:rPr>
        <w:t>government</w:t>
      </w:r>
      <w:r w:rsidR="00811E5D"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and convention</w:t>
      </w:r>
      <w:r w:rsidR="008475C3" w:rsidRPr="008210C1">
        <w:rPr>
          <w:rFonts w:ascii="Times New Roman" w:hAnsi="Times New Roman" w:cs="Times New Roman"/>
          <w:sz w:val="24"/>
          <w:szCs w:val="24"/>
          <w:lang w:val="en-US"/>
        </w:rPr>
        <w:t>s</w:t>
      </w:r>
      <w:r w:rsidR="00B6671B" w:rsidRPr="008210C1">
        <w:rPr>
          <w:rFonts w:ascii="Times New Roman" w:hAnsi="Times New Roman" w:cs="Times New Roman"/>
          <w:sz w:val="24"/>
          <w:szCs w:val="24"/>
          <w:lang w:val="en-US"/>
        </w:rPr>
        <w:t xml:space="preserve"> in his works,</w:t>
      </w:r>
      <w:r w:rsidR="00BA0397" w:rsidRPr="008210C1">
        <w:rPr>
          <w:rFonts w:ascii="Times New Roman" w:hAnsi="Times New Roman" w:cs="Times New Roman"/>
          <w:sz w:val="24"/>
          <w:szCs w:val="24"/>
          <w:lang w:val="en-US"/>
        </w:rPr>
        <w:t xml:space="preserve"> his GT </w:t>
      </w:r>
      <w:r w:rsidR="00D153B8" w:rsidRPr="008210C1">
        <w:rPr>
          <w:rFonts w:ascii="Times New Roman" w:hAnsi="Times New Roman" w:cs="Times New Roman"/>
          <w:sz w:val="24"/>
          <w:szCs w:val="24"/>
          <w:lang w:val="en-US"/>
        </w:rPr>
        <w:t>has</w:t>
      </w:r>
      <w:r w:rsidR="00BA0397" w:rsidRPr="008210C1">
        <w:rPr>
          <w:rFonts w:ascii="Times New Roman" w:hAnsi="Times New Roman" w:cs="Times New Roman"/>
          <w:sz w:val="24"/>
          <w:szCs w:val="24"/>
          <w:lang w:val="en-US"/>
        </w:rPr>
        <w:t xml:space="preserve"> passages regarding </w:t>
      </w:r>
      <w:r w:rsidR="00C14C35" w:rsidRPr="008210C1">
        <w:rPr>
          <w:rFonts w:ascii="Times New Roman" w:hAnsi="Times New Roman" w:cs="Times New Roman"/>
          <w:sz w:val="24"/>
          <w:szCs w:val="24"/>
          <w:lang w:val="en-US"/>
        </w:rPr>
        <w:t>this</w:t>
      </w:r>
      <w:r w:rsidR="00BA0397" w:rsidRPr="008210C1">
        <w:rPr>
          <w:rFonts w:ascii="Times New Roman" w:hAnsi="Times New Roman" w:cs="Times New Roman"/>
          <w:sz w:val="24"/>
          <w:szCs w:val="24"/>
          <w:lang w:val="en-US"/>
        </w:rPr>
        <w:t xml:space="preserve"> link</w:t>
      </w:r>
      <w:r w:rsidR="00B6671B"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To make it</w:t>
      </w:r>
      <w:r w:rsidR="00811E5D"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clearer, some quotes are useful</w:t>
      </w:r>
      <w:r w:rsidR="00C14C35" w:rsidRPr="008210C1">
        <w:rPr>
          <w:rFonts w:ascii="Times New Roman" w:hAnsi="Times New Roman" w:cs="Times New Roman"/>
          <w:sz w:val="24"/>
          <w:szCs w:val="24"/>
          <w:lang w:val="en-US"/>
        </w:rPr>
        <w:t xml:space="preserve">, </w:t>
      </w:r>
      <w:r w:rsidR="00B6671B" w:rsidRPr="008210C1">
        <w:rPr>
          <w:rFonts w:ascii="Times New Roman" w:hAnsi="Times New Roman" w:cs="Times New Roman"/>
          <w:sz w:val="24"/>
          <w:szCs w:val="24"/>
          <w:lang w:val="en-US"/>
        </w:rPr>
        <w:t>as per below</w:t>
      </w:r>
      <w:r w:rsidR="003F4B56" w:rsidRPr="008210C1">
        <w:rPr>
          <w:rFonts w:ascii="Times New Roman" w:hAnsi="Times New Roman" w:cs="Times New Roman"/>
          <w:sz w:val="24"/>
          <w:szCs w:val="24"/>
          <w:lang w:val="en-US"/>
        </w:rPr>
        <w:t>:</w:t>
      </w:r>
    </w:p>
    <w:p w:rsidR="00A51FC1" w:rsidRDefault="00A51FC1" w:rsidP="008210C1">
      <w:pPr>
        <w:spacing w:after="0" w:line="240" w:lineRule="auto"/>
        <w:ind w:left="2268"/>
        <w:jc w:val="both"/>
        <w:rPr>
          <w:rFonts w:ascii="Times New Roman" w:hAnsi="Times New Roman" w:cs="Times New Roman"/>
          <w:sz w:val="24"/>
          <w:szCs w:val="24"/>
          <w:lang w:val="en-US"/>
        </w:rPr>
      </w:pPr>
    </w:p>
    <w:p w:rsidR="004F2C9E" w:rsidRPr="008210C1" w:rsidRDefault="00BA0397" w:rsidP="008210C1">
      <w:pPr>
        <w:spacing w:after="0" w:line="240" w:lineRule="auto"/>
        <w:ind w:left="226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“The considerations upon which expectations of prospective yields are based are partly existing facts which we can assume to be known </w:t>
      </w:r>
      <w:proofErr w:type="gramStart"/>
      <w:r w:rsidRPr="008210C1">
        <w:rPr>
          <w:rFonts w:ascii="Times New Roman" w:hAnsi="Times New Roman" w:cs="Times New Roman"/>
          <w:sz w:val="24"/>
          <w:szCs w:val="24"/>
          <w:lang w:val="en-US"/>
        </w:rPr>
        <w:t>more or less for</w:t>
      </w:r>
      <w:proofErr w:type="gramEnd"/>
      <w:r w:rsidRPr="008210C1">
        <w:rPr>
          <w:rFonts w:ascii="Times New Roman" w:hAnsi="Times New Roman" w:cs="Times New Roman"/>
          <w:sz w:val="24"/>
          <w:szCs w:val="24"/>
          <w:lang w:val="en-US"/>
        </w:rPr>
        <w:t xml:space="preserve"> certain, and partly future events which can only be forecasted with more or less confidence </w:t>
      </w:r>
      <w:r w:rsidR="00E26B39"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w:t>
      </w:r>
      <w:r w:rsidR="00E26B39"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It is reasonable, therefore, to be guided to a considerable degree by the facts about which we feel somewhat confident, even though they may be less decisively relevant to the issue than other facts about which our knowledge is vague and scanty. For this </w:t>
      </w:r>
      <w:proofErr w:type="gramStart"/>
      <w:r w:rsidRPr="008210C1">
        <w:rPr>
          <w:rFonts w:ascii="Times New Roman" w:hAnsi="Times New Roman" w:cs="Times New Roman"/>
          <w:sz w:val="24"/>
          <w:szCs w:val="24"/>
          <w:lang w:val="en-US"/>
        </w:rPr>
        <w:t>reason</w:t>
      </w:r>
      <w:proofErr w:type="gramEnd"/>
      <w:r w:rsidRPr="008210C1">
        <w:rPr>
          <w:rFonts w:ascii="Times New Roman" w:hAnsi="Times New Roman" w:cs="Times New Roman"/>
          <w:sz w:val="24"/>
          <w:szCs w:val="24"/>
          <w:lang w:val="en-US"/>
        </w:rPr>
        <w:t xml:space="preserve"> the facts of the existing situation enter, in a sense disproportionately, into the formation of our long-term expectations” (</w:t>
      </w:r>
      <w:r w:rsidR="0099131A" w:rsidRPr="008210C1">
        <w:rPr>
          <w:rFonts w:ascii="Times New Roman" w:hAnsi="Times New Roman" w:cs="Times New Roman"/>
          <w:sz w:val="24"/>
          <w:szCs w:val="24"/>
          <w:lang w:val="en-US"/>
        </w:rPr>
        <w:t xml:space="preserve">Keynes, </w:t>
      </w:r>
      <w:r w:rsidR="0040463D" w:rsidRPr="008210C1">
        <w:rPr>
          <w:rFonts w:ascii="Times New Roman" w:hAnsi="Times New Roman" w:cs="Times New Roman"/>
          <w:sz w:val="24"/>
          <w:szCs w:val="24"/>
          <w:lang w:val="en-US"/>
        </w:rPr>
        <w:t>1973</w:t>
      </w:r>
      <w:r w:rsidRPr="008210C1">
        <w:rPr>
          <w:rFonts w:ascii="Times New Roman" w:hAnsi="Times New Roman" w:cs="Times New Roman"/>
          <w:sz w:val="24"/>
          <w:szCs w:val="24"/>
          <w:lang w:val="en-US"/>
        </w:rPr>
        <w:t>, p</w:t>
      </w:r>
      <w:r w:rsidR="00234C8F" w:rsidRPr="008210C1">
        <w:rPr>
          <w:rFonts w:ascii="Times New Roman" w:hAnsi="Times New Roman" w:cs="Times New Roman"/>
          <w:sz w:val="24"/>
          <w:szCs w:val="24"/>
          <w:lang w:val="en-US"/>
        </w:rPr>
        <w:t>p</w:t>
      </w:r>
      <w:r w:rsidRPr="008210C1">
        <w:rPr>
          <w:rFonts w:ascii="Times New Roman" w:hAnsi="Times New Roman" w:cs="Times New Roman"/>
          <w:sz w:val="24"/>
          <w:szCs w:val="24"/>
          <w:lang w:val="en-US"/>
        </w:rPr>
        <w:t>. 147-148).</w:t>
      </w:r>
    </w:p>
    <w:p w:rsidR="001234A1" w:rsidRPr="008210C1" w:rsidRDefault="001234A1" w:rsidP="008210C1">
      <w:pPr>
        <w:spacing w:after="0" w:line="240" w:lineRule="auto"/>
        <w:ind w:left="2268"/>
        <w:jc w:val="both"/>
        <w:rPr>
          <w:rFonts w:ascii="Times New Roman" w:hAnsi="Times New Roman" w:cs="Times New Roman"/>
          <w:sz w:val="24"/>
          <w:szCs w:val="24"/>
          <w:lang w:val="en-US"/>
        </w:rPr>
      </w:pPr>
    </w:p>
    <w:p w:rsidR="004F2C9E" w:rsidRDefault="00BA0397"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The knowledge of future is </w:t>
      </w:r>
      <w:r w:rsidR="00234C8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vague and scanty</w:t>
      </w:r>
      <w:r w:rsidR="00234C8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w:t>
      </w:r>
      <w:r w:rsidR="0099131A" w:rsidRPr="008210C1">
        <w:rPr>
          <w:rFonts w:ascii="Times New Roman" w:hAnsi="Times New Roman" w:cs="Times New Roman"/>
          <w:sz w:val="24"/>
          <w:szCs w:val="24"/>
          <w:lang w:val="en-US"/>
        </w:rPr>
        <w:t>So</w:t>
      </w:r>
      <w:r w:rsidRPr="008210C1">
        <w:rPr>
          <w:rFonts w:ascii="Times New Roman" w:hAnsi="Times New Roman" w:cs="Times New Roman"/>
          <w:sz w:val="24"/>
          <w:szCs w:val="24"/>
          <w:lang w:val="en-US"/>
        </w:rPr>
        <w:t xml:space="preserve">, </w:t>
      </w:r>
      <w:r w:rsidR="001F5B58" w:rsidRPr="008210C1">
        <w:rPr>
          <w:rFonts w:ascii="Times New Roman" w:hAnsi="Times New Roman" w:cs="Times New Roman"/>
          <w:sz w:val="24"/>
          <w:szCs w:val="24"/>
          <w:lang w:val="en-US"/>
        </w:rPr>
        <w:t>government</w:t>
      </w:r>
      <w:r w:rsidRPr="008210C1">
        <w:rPr>
          <w:rFonts w:ascii="Times New Roman" w:hAnsi="Times New Roman" w:cs="Times New Roman"/>
          <w:sz w:val="24"/>
          <w:szCs w:val="24"/>
          <w:lang w:val="en-US"/>
        </w:rPr>
        <w:t>’s speeches, plans,</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policies and even circumstantial measures may be included in the set of </w:t>
      </w:r>
      <w:r w:rsidR="00234C8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existing facts which we can assume to be </w:t>
      </w:r>
      <w:r w:rsidRPr="008210C1">
        <w:rPr>
          <w:rFonts w:ascii="Times New Roman" w:hAnsi="Times New Roman" w:cs="Times New Roman"/>
          <w:sz w:val="24"/>
          <w:szCs w:val="24"/>
          <w:lang w:val="en-US"/>
        </w:rPr>
        <w:lastRenderedPageBreak/>
        <w:t xml:space="preserve">known </w:t>
      </w:r>
      <w:proofErr w:type="gramStart"/>
      <w:r w:rsidRPr="008210C1">
        <w:rPr>
          <w:rFonts w:ascii="Times New Roman" w:hAnsi="Times New Roman" w:cs="Times New Roman"/>
          <w:sz w:val="24"/>
          <w:szCs w:val="24"/>
          <w:lang w:val="en-US"/>
        </w:rPr>
        <w:t>more or less for</w:t>
      </w:r>
      <w:proofErr w:type="gramEnd"/>
      <w:r w:rsidRPr="008210C1">
        <w:rPr>
          <w:rFonts w:ascii="Times New Roman" w:hAnsi="Times New Roman" w:cs="Times New Roman"/>
          <w:sz w:val="24"/>
          <w:szCs w:val="24"/>
          <w:lang w:val="en-US"/>
        </w:rPr>
        <w:t xml:space="preserve"> certain</w:t>
      </w:r>
      <w:r w:rsidR="00234C8F" w:rsidRPr="008210C1">
        <w:rPr>
          <w:rFonts w:ascii="Times New Roman" w:hAnsi="Times New Roman" w:cs="Times New Roman"/>
          <w:sz w:val="24"/>
          <w:szCs w:val="24"/>
          <w:lang w:val="en-US"/>
        </w:rPr>
        <w:t>’</w:t>
      </w:r>
      <w:r w:rsidR="0099131A"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furnishing to the decision-makers more</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instances</w:t>
      </w:r>
      <w:r w:rsidR="0099131A"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and consequently confidence</w:t>
      </w:r>
      <w:r w:rsidR="0099131A"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in the</w:t>
      </w:r>
      <w:r w:rsidR="0099131A" w:rsidRPr="008210C1">
        <w:rPr>
          <w:rFonts w:ascii="Times New Roman" w:hAnsi="Times New Roman" w:cs="Times New Roman"/>
          <w:sz w:val="24"/>
          <w:szCs w:val="24"/>
          <w:lang w:val="en-US"/>
        </w:rPr>
        <w:t>ir</w:t>
      </w:r>
      <w:r w:rsidRPr="008210C1">
        <w:rPr>
          <w:rFonts w:ascii="Times New Roman" w:hAnsi="Times New Roman" w:cs="Times New Roman"/>
          <w:sz w:val="24"/>
          <w:szCs w:val="24"/>
          <w:lang w:val="en-US"/>
        </w:rPr>
        <w:t xml:space="preserve"> expectations. Therefore, the </w:t>
      </w:r>
      <w:r w:rsidR="001F5B58" w:rsidRPr="008210C1">
        <w:rPr>
          <w:rFonts w:ascii="Times New Roman" w:hAnsi="Times New Roman" w:cs="Times New Roman"/>
          <w:sz w:val="24"/>
          <w:szCs w:val="24"/>
          <w:lang w:val="en-US"/>
        </w:rPr>
        <w:t>government</w:t>
      </w:r>
      <w:r w:rsidRPr="008210C1">
        <w:rPr>
          <w:rFonts w:ascii="Times New Roman" w:hAnsi="Times New Roman" w:cs="Times New Roman"/>
          <w:sz w:val="24"/>
          <w:szCs w:val="24"/>
          <w:lang w:val="en-US"/>
        </w:rPr>
        <w:t xml:space="preserve"> </w:t>
      </w:r>
      <w:r w:rsidR="00D153B8" w:rsidRPr="008210C1">
        <w:rPr>
          <w:rFonts w:ascii="Times New Roman" w:hAnsi="Times New Roman" w:cs="Times New Roman"/>
          <w:sz w:val="24"/>
          <w:szCs w:val="24"/>
          <w:lang w:val="en-US"/>
        </w:rPr>
        <w:t xml:space="preserve">can frame </w:t>
      </w:r>
      <w:r w:rsidR="0099131A" w:rsidRPr="008210C1">
        <w:rPr>
          <w:rFonts w:ascii="Times New Roman" w:hAnsi="Times New Roman" w:cs="Times New Roman"/>
          <w:sz w:val="24"/>
          <w:szCs w:val="24"/>
          <w:lang w:val="en-US"/>
        </w:rPr>
        <w:t>economic</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conventions as it </w:t>
      </w:r>
      <w:r w:rsidR="0099131A" w:rsidRPr="008210C1">
        <w:rPr>
          <w:rFonts w:ascii="Times New Roman" w:hAnsi="Times New Roman" w:cs="Times New Roman"/>
          <w:sz w:val="24"/>
          <w:szCs w:val="24"/>
          <w:lang w:val="en-US"/>
        </w:rPr>
        <w:t>plays</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the following roles: </w:t>
      </w:r>
      <w:r w:rsidR="0026219E" w:rsidRPr="008210C1">
        <w:rPr>
          <w:rFonts w:ascii="Times New Roman" w:hAnsi="Times New Roman" w:cs="Times New Roman"/>
          <w:sz w:val="24"/>
          <w:szCs w:val="24"/>
          <w:lang w:val="en-US"/>
        </w:rPr>
        <w:t>(</w:t>
      </w:r>
      <w:proofErr w:type="spellStart"/>
      <w:r w:rsidRPr="008210C1">
        <w:rPr>
          <w:rFonts w:ascii="Times New Roman" w:hAnsi="Times New Roman" w:cs="Times New Roman"/>
          <w:sz w:val="24"/>
          <w:szCs w:val="24"/>
          <w:lang w:val="en-US"/>
        </w:rPr>
        <w:t>i</w:t>
      </w:r>
      <w:proofErr w:type="spellEnd"/>
      <w:r w:rsidRPr="008210C1">
        <w:rPr>
          <w:rFonts w:ascii="Times New Roman" w:hAnsi="Times New Roman" w:cs="Times New Roman"/>
          <w:sz w:val="24"/>
          <w:szCs w:val="24"/>
          <w:lang w:val="en-US"/>
        </w:rPr>
        <w:t xml:space="preserve">) </w:t>
      </w:r>
      <w:r w:rsidR="00A17606" w:rsidRPr="008210C1">
        <w:rPr>
          <w:rFonts w:ascii="Times New Roman" w:hAnsi="Times New Roman" w:cs="Times New Roman"/>
          <w:sz w:val="24"/>
          <w:szCs w:val="24"/>
          <w:lang w:val="en-US"/>
        </w:rPr>
        <w:t>it issues exogenous money and affects the creation of endogenous money</w:t>
      </w:r>
      <w:r w:rsidR="0026219E" w:rsidRPr="008210C1">
        <w:rPr>
          <w:rFonts w:ascii="Times New Roman" w:hAnsi="Times New Roman" w:cs="Times New Roman"/>
          <w:sz w:val="24"/>
          <w:szCs w:val="24"/>
          <w:lang w:val="en-US"/>
        </w:rPr>
        <w:t>;</w:t>
      </w:r>
      <w:r w:rsidR="00197439" w:rsidRPr="008210C1">
        <w:rPr>
          <w:rFonts w:ascii="Times New Roman" w:hAnsi="Times New Roman" w:cs="Times New Roman"/>
          <w:sz w:val="24"/>
          <w:szCs w:val="24"/>
          <w:lang w:val="en-US"/>
        </w:rPr>
        <w:t xml:space="preserve"> </w:t>
      </w:r>
      <w:r w:rsidR="0026219E"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ii) it</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stipulates taxes and gather</w:t>
      </w:r>
      <w:r w:rsidR="00234C8F" w:rsidRPr="008210C1">
        <w:rPr>
          <w:rFonts w:ascii="Times New Roman" w:hAnsi="Times New Roman" w:cs="Times New Roman"/>
          <w:sz w:val="24"/>
          <w:szCs w:val="24"/>
          <w:lang w:val="en-US"/>
        </w:rPr>
        <w:t>s</w:t>
      </w:r>
      <w:r w:rsidRPr="008210C1">
        <w:rPr>
          <w:rFonts w:ascii="Times New Roman" w:hAnsi="Times New Roman" w:cs="Times New Roman"/>
          <w:sz w:val="24"/>
          <w:szCs w:val="24"/>
          <w:lang w:val="en-US"/>
        </w:rPr>
        <w:t xml:space="preserve"> </w:t>
      </w:r>
      <w:r w:rsidR="007B58E8" w:rsidRPr="008210C1">
        <w:rPr>
          <w:rFonts w:ascii="Times New Roman" w:hAnsi="Times New Roman" w:cs="Times New Roman"/>
          <w:sz w:val="24"/>
          <w:szCs w:val="24"/>
          <w:lang w:val="en-US"/>
        </w:rPr>
        <w:t>revenues</w:t>
      </w:r>
      <w:r w:rsidRPr="008210C1">
        <w:rPr>
          <w:rFonts w:ascii="Times New Roman" w:hAnsi="Times New Roman" w:cs="Times New Roman"/>
          <w:sz w:val="24"/>
          <w:szCs w:val="24"/>
          <w:lang w:val="en-US"/>
        </w:rPr>
        <w:t xml:space="preserve">; </w:t>
      </w:r>
      <w:r w:rsidR="0026219E"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iii)</w:t>
      </w:r>
      <w:r w:rsidR="00197439"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it undertakes a wide scope of public policies; </w:t>
      </w:r>
      <w:r w:rsidR="0026219E"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iv) it establishes laws </w:t>
      </w:r>
      <w:r w:rsidR="0099131A" w:rsidRPr="008210C1">
        <w:rPr>
          <w:rFonts w:ascii="Times New Roman" w:hAnsi="Times New Roman" w:cs="Times New Roman"/>
          <w:sz w:val="24"/>
          <w:szCs w:val="24"/>
          <w:lang w:val="en-US"/>
        </w:rPr>
        <w:t xml:space="preserve">which </w:t>
      </w:r>
      <w:r w:rsidRPr="008210C1">
        <w:rPr>
          <w:rFonts w:ascii="Times New Roman" w:hAnsi="Times New Roman" w:cs="Times New Roman"/>
          <w:sz w:val="24"/>
          <w:szCs w:val="24"/>
          <w:lang w:val="en-US"/>
        </w:rPr>
        <w:t>builds the society’s institutional structure;</w:t>
      </w:r>
      <w:r w:rsidR="00197439" w:rsidRPr="008210C1">
        <w:rPr>
          <w:rFonts w:ascii="Times New Roman" w:hAnsi="Times New Roman" w:cs="Times New Roman"/>
          <w:sz w:val="24"/>
          <w:szCs w:val="24"/>
          <w:lang w:val="en-US"/>
        </w:rPr>
        <w:t xml:space="preserve"> </w:t>
      </w:r>
      <w:r w:rsidR="00234C8F" w:rsidRPr="008210C1">
        <w:rPr>
          <w:rFonts w:ascii="Times New Roman" w:hAnsi="Times New Roman" w:cs="Times New Roman"/>
          <w:sz w:val="24"/>
          <w:szCs w:val="24"/>
          <w:lang w:val="en-US"/>
        </w:rPr>
        <w:t xml:space="preserve">and </w:t>
      </w:r>
      <w:r w:rsidR="0026219E"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v)</w:t>
      </w:r>
      <w:r w:rsidR="0099131A"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it has the legal jurisdiction to reinforce the power of law.</w:t>
      </w:r>
      <w:r w:rsidR="00811E5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Carval</w:t>
      </w:r>
      <w:r w:rsidR="00615E86" w:rsidRPr="008210C1">
        <w:rPr>
          <w:rFonts w:ascii="Times New Roman" w:hAnsi="Times New Roman" w:cs="Times New Roman"/>
          <w:sz w:val="24"/>
          <w:szCs w:val="24"/>
          <w:lang w:val="en-US"/>
        </w:rPr>
        <w:t>ho (1992</w:t>
      </w:r>
      <w:r w:rsidR="00234C8F" w:rsidRPr="008210C1">
        <w:rPr>
          <w:rFonts w:ascii="Times New Roman" w:hAnsi="Times New Roman" w:cs="Times New Roman"/>
          <w:sz w:val="24"/>
          <w:szCs w:val="24"/>
          <w:lang w:val="en-US"/>
        </w:rPr>
        <w:t xml:space="preserve">) </w:t>
      </w:r>
      <w:r w:rsidR="00615E86" w:rsidRPr="008210C1">
        <w:rPr>
          <w:rFonts w:ascii="Times New Roman" w:hAnsi="Times New Roman" w:cs="Times New Roman"/>
          <w:sz w:val="24"/>
          <w:szCs w:val="24"/>
          <w:lang w:val="en-US"/>
        </w:rPr>
        <w:t>enlightens the</w:t>
      </w:r>
      <w:r w:rsidRPr="008210C1">
        <w:rPr>
          <w:rFonts w:ascii="Times New Roman" w:hAnsi="Times New Roman" w:cs="Times New Roman"/>
          <w:sz w:val="24"/>
          <w:szCs w:val="24"/>
          <w:lang w:val="en-US"/>
        </w:rPr>
        <w:t xml:space="preserve"> idea</w:t>
      </w:r>
      <w:r w:rsidR="00234C8F" w:rsidRPr="008210C1">
        <w:rPr>
          <w:rFonts w:ascii="Times New Roman" w:hAnsi="Times New Roman" w:cs="Times New Roman"/>
          <w:sz w:val="24"/>
          <w:szCs w:val="24"/>
          <w:lang w:val="en-US"/>
        </w:rPr>
        <w:t>:</w:t>
      </w:r>
    </w:p>
    <w:p w:rsidR="00A51FC1" w:rsidRPr="008210C1" w:rsidRDefault="00A51FC1" w:rsidP="008210C1">
      <w:pPr>
        <w:spacing w:after="0" w:line="240" w:lineRule="auto"/>
        <w:ind w:firstLine="709"/>
        <w:jc w:val="both"/>
        <w:rPr>
          <w:rFonts w:ascii="Times New Roman" w:hAnsi="Times New Roman" w:cs="Times New Roman"/>
          <w:sz w:val="24"/>
          <w:szCs w:val="24"/>
          <w:lang w:val="en-US"/>
        </w:rPr>
      </w:pPr>
    </w:p>
    <w:p w:rsidR="004F2C9E" w:rsidRPr="008210C1" w:rsidRDefault="00BA0397" w:rsidP="008210C1">
      <w:pPr>
        <w:spacing w:after="0" w:line="240" w:lineRule="auto"/>
        <w:ind w:left="226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“The state has powers to influence or even to determine future paths </w:t>
      </w:r>
      <w:r w:rsidR="001234A1" w:rsidRPr="008210C1">
        <w:rPr>
          <w:rFonts w:ascii="Times New Roman" w:hAnsi="Times New Roman" w:cs="Times New Roman"/>
          <w:sz w:val="24"/>
          <w:szCs w:val="24"/>
          <w:lang w:val="en-US"/>
        </w:rPr>
        <w:t>[…]</w:t>
      </w:r>
      <w:r w:rsidR="00162D99"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all these factors allow the state to lead the process of development of a monetary economy</w:t>
      </w:r>
      <w:r w:rsidR="001234A1"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 it is not a question of replacing private property or the market </w:t>
      </w:r>
      <w:r w:rsidR="001234A1"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but of allowing the state to issue the signals that markets are not able to and of pointing out”</w:t>
      </w:r>
      <w:r w:rsidR="00234C8F" w:rsidRPr="008210C1">
        <w:rPr>
          <w:rFonts w:ascii="Times New Roman" w:hAnsi="Times New Roman" w:cs="Times New Roman"/>
          <w:sz w:val="24"/>
          <w:szCs w:val="24"/>
          <w:lang w:val="en-US"/>
        </w:rPr>
        <w:t xml:space="preserve"> (p. 205).</w:t>
      </w:r>
    </w:p>
    <w:p w:rsidR="004F2C9E" w:rsidRPr="008210C1" w:rsidRDefault="004F2C9E" w:rsidP="008210C1">
      <w:pPr>
        <w:spacing w:after="0" w:line="240" w:lineRule="auto"/>
        <w:ind w:left="2268"/>
        <w:jc w:val="both"/>
        <w:rPr>
          <w:rFonts w:ascii="Times New Roman" w:hAnsi="Times New Roman" w:cs="Times New Roman"/>
          <w:sz w:val="24"/>
          <w:szCs w:val="24"/>
          <w:lang w:val="en-US"/>
        </w:rPr>
      </w:pPr>
    </w:p>
    <w:p w:rsidR="004F2C9E" w:rsidRPr="008210C1" w:rsidRDefault="0099131A"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Government</w:t>
      </w:r>
      <w:r w:rsidR="00532FED" w:rsidRPr="008210C1">
        <w:rPr>
          <w:rFonts w:ascii="Times New Roman" w:hAnsi="Times New Roman" w:cs="Times New Roman"/>
          <w:sz w:val="24"/>
          <w:szCs w:val="24"/>
          <w:lang w:val="en-US"/>
        </w:rPr>
        <w:t xml:space="preserve"> can </w:t>
      </w:r>
      <w:r w:rsidR="00BA0397" w:rsidRPr="008210C1">
        <w:rPr>
          <w:rFonts w:ascii="Times New Roman" w:hAnsi="Times New Roman" w:cs="Times New Roman"/>
          <w:sz w:val="24"/>
          <w:szCs w:val="24"/>
          <w:lang w:val="en-US"/>
        </w:rPr>
        <w:t xml:space="preserve">provide both the rules </w:t>
      </w:r>
      <w:r w:rsidR="00532FED" w:rsidRPr="008210C1">
        <w:rPr>
          <w:rFonts w:ascii="Times New Roman" w:hAnsi="Times New Roman" w:cs="Times New Roman"/>
          <w:sz w:val="24"/>
          <w:szCs w:val="24"/>
          <w:lang w:val="en-US"/>
        </w:rPr>
        <w:t>of</w:t>
      </w:r>
      <w:r w:rsidR="00BA0397" w:rsidRPr="008210C1">
        <w:rPr>
          <w:rFonts w:ascii="Times New Roman" w:hAnsi="Times New Roman" w:cs="Times New Roman"/>
          <w:sz w:val="24"/>
          <w:szCs w:val="24"/>
          <w:lang w:val="en-US"/>
        </w:rPr>
        <w:t xml:space="preserve"> markets</w:t>
      </w:r>
      <w:r w:rsidR="00532FED" w:rsidRPr="008210C1">
        <w:rPr>
          <w:rFonts w:ascii="Times New Roman" w:hAnsi="Times New Roman" w:cs="Times New Roman"/>
          <w:sz w:val="24"/>
          <w:szCs w:val="24"/>
          <w:lang w:val="en-US"/>
        </w:rPr>
        <w:t>’</w:t>
      </w:r>
      <w:r w:rsidR="00BA0397" w:rsidRPr="008210C1">
        <w:rPr>
          <w:rFonts w:ascii="Times New Roman" w:hAnsi="Times New Roman" w:cs="Times New Roman"/>
          <w:sz w:val="24"/>
          <w:szCs w:val="24"/>
          <w:lang w:val="en-US"/>
        </w:rPr>
        <w:t xml:space="preserve"> </w:t>
      </w:r>
      <w:r w:rsidR="00532FED" w:rsidRPr="008210C1">
        <w:rPr>
          <w:rFonts w:ascii="Times New Roman" w:hAnsi="Times New Roman" w:cs="Times New Roman"/>
          <w:sz w:val="24"/>
          <w:szCs w:val="24"/>
          <w:lang w:val="en-US"/>
        </w:rPr>
        <w:t xml:space="preserve">operation </w:t>
      </w:r>
      <w:r w:rsidR="00BA0397" w:rsidRPr="008210C1">
        <w:rPr>
          <w:rFonts w:ascii="Times New Roman" w:hAnsi="Times New Roman" w:cs="Times New Roman"/>
          <w:sz w:val="24"/>
          <w:szCs w:val="24"/>
          <w:lang w:val="en-US"/>
        </w:rPr>
        <w:t>and the signals that market fail</w:t>
      </w:r>
      <w:r w:rsidR="008078DF" w:rsidRPr="008210C1">
        <w:rPr>
          <w:rFonts w:ascii="Times New Roman" w:hAnsi="Times New Roman" w:cs="Times New Roman"/>
          <w:sz w:val="24"/>
          <w:szCs w:val="24"/>
          <w:lang w:val="en-US"/>
        </w:rPr>
        <w:t>s</w:t>
      </w:r>
      <w:r w:rsidR="00BA0397" w:rsidRPr="008210C1">
        <w:rPr>
          <w:rFonts w:ascii="Times New Roman" w:hAnsi="Times New Roman" w:cs="Times New Roman"/>
          <w:sz w:val="24"/>
          <w:szCs w:val="24"/>
          <w:lang w:val="en-US"/>
        </w:rPr>
        <w:t xml:space="preserve"> to offer. </w:t>
      </w:r>
      <w:r w:rsidR="008078DF" w:rsidRPr="008210C1">
        <w:rPr>
          <w:rFonts w:ascii="Times New Roman" w:hAnsi="Times New Roman" w:cs="Times New Roman"/>
          <w:sz w:val="24"/>
          <w:szCs w:val="24"/>
          <w:lang w:val="en-US"/>
        </w:rPr>
        <w:t>I</w:t>
      </w:r>
      <w:r w:rsidR="007B58E8" w:rsidRPr="008210C1">
        <w:rPr>
          <w:rFonts w:ascii="Times New Roman" w:hAnsi="Times New Roman" w:cs="Times New Roman"/>
          <w:sz w:val="24"/>
          <w:szCs w:val="24"/>
          <w:lang w:val="en-US"/>
        </w:rPr>
        <w:t>f</w:t>
      </w:r>
      <w:r w:rsidR="00BA0397" w:rsidRPr="008210C1">
        <w:rPr>
          <w:rFonts w:ascii="Times New Roman" w:hAnsi="Times New Roman" w:cs="Times New Roman"/>
          <w:sz w:val="24"/>
          <w:szCs w:val="24"/>
          <w:lang w:val="en-US"/>
        </w:rPr>
        <w:t xml:space="preserve"> uncertainty is pervasive, in a considerable degree agents ground expectations in the signals</w:t>
      </w:r>
      <w:r w:rsidR="00532FED" w:rsidRPr="008210C1">
        <w:rPr>
          <w:rFonts w:ascii="Times New Roman" w:hAnsi="Times New Roman" w:cs="Times New Roman"/>
          <w:sz w:val="24"/>
          <w:szCs w:val="24"/>
          <w:lang w:val="en-US"/>
        </w:rPr>
        <w:t xml:space="preserve"> issued by</w:t>
      </w:r>
      <w:r w:rsidR="00BA0397" w:rsidRPr="008210C1">
        <w:rPr>
          <w:rFonts w:ascii="Times New Roman" w:hAnsi="Times New Roman" w:cs="Times New Roman"/>
          <w:sz w:val="24"/>
          <w:szCs w:val="24"/>
          <w:lang w:val="en-US"/>
        </w:rPr>
        <w:t xml:space="preserve"> </w:t>
      </w:r>
      <w:r w:rsidR="008078DF" w:rsidRPr="008210C1">
        <w:rPr>
          <w:rFonts w:ascii="Times New Roman" w:hAnsi="Times New Roman" w:cs="Times New Roman"/>
          <w:sz w:val="24"/>
          <w:szCs w:val="24"/>
          <w:lang w:val="en-US"/>
        </w:rPr>
        <w:t>government</w:t>
      </w:r>
      <w:r w:rsidR="00532FED" w:rsidRPr="008210C1">
        <w:rPr>
          <w:rFonts w:ascii="Times New Roman" w:hAnsi="Times New Roman" w:cs="Times New Roman"/>
          <w:sz w:val="24"/>
          <w:szCs w:val="24"/>
          <w:lang w:val="en-US"/>
        </w:rPr>
        <w:t>al</w:t>
      </w:r>
      <w:r w:rsidR="008078DF" w:rsidRPr="008210C1">
        <w:rPr>
          <w:rFonts w:ascii="Times New Roman" w:hAnsi="Times New Roman" w:cs="Times New Roman"/>
          <w:sz w:val="24"/>
          <w:szCs w:val="24"/>
          <w:lang w:val="en-US"/>
        </w:rPr>
        <w:t xml:space="preserve"> speeches, plans, policies and </w:t>
      </w:r>
      <w:r w:rsidR="00532FED" w:rsidRPr="008210C1">
        <w:rPr>
          <w:rFonts w:ascii="Times New Roman" w:hAnsi="Times New Roman" w:cs="Times New Roman"/>
          <w:sz w:val="24"/>
          <w:szCs w:val="24"/>
          <w:lang w:val="en-US"/>
        </w:rPr>
        <w:t>so forth</w:t>
      </w:r>
      <w:r w:rsidR="00BA0397" w:rsidRPr="008210C1">
        <w:rPr>
          <w:rFonts w:ascii="Times New Roman" w:hAnsi="Times New Roman" w:cs="Times New Roman"/>
          <w:sz w:val="24"/>
          <w:szCs w:val="24"/>
          <w:lang w:val="en-US"/>
        </w:rPr>
        <w:t xml:space="preserve">. Keynes </w:t>
      </w:r>
      <w:r w:rsidR="00234C8F" w:rsidRPr="008210C1">
        <w:rPr>
          <w:rFonts w:ascii="Times New Roman" w:hAnsi="Times New Roman" w:cs="Times New Roman"/>
          <w:sz w:val="24"/>
          <w:szCs w:val="24"/>
          <w:lang w:val="en-US"/>
        </w:rPr>
        <w:t xml:space="preserve">(1973) </w:t>
      </w:r>
      <w:r w:rsidR="00BA0397" w:rsidRPr="008210C1">
        <w:rPr>
          <w:rFonts w:ascii="Times New Roman" w:hAnsi="Times New Roman" w:cs="Times New Roman"/>
          <w:sz w:val="24"/>
          <w:szCs w:val="24"/>
          <w:lang w:val="en-US"/>
        </w:rPr>
        <w:t xml:space="preserve">gave </w:t>
      </w:r>
      <w:r w:rsidR="00234C8F" w:rsidRPr="008210C1">
        <w:rPr>
          <w:rFonts w:ascii="Times New Roman" w:hAnsi="Times New Roman" w:cs="Times New Roman"/>
          <w:sz w:val="24"/>
          <w:szCs w:val="24"/>
          <w:lang w:val="en-US"/>
        </w:rPr>
        <w:t xml:space="preserve">further hints </w:t>
      </w:r>
      <w:r w:rsidR="00BA0397" w:rsidRPr="008210C1">
        <w:rPr>
          <w:rFonts w:ascii="Times New Roman" w:hAnsi="Times New Roman" w:cs="Times New Roman"/>
          <w:sz w:val="24"/>
          <w:szCs w:val="24"/>
          <w:lang w:val="en-US"/>
        </w:rPr>
        <w:t>to advance the</w:t>
      </w:r>
      <w:r w:rsidR="00941567"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 xml:space="preserve">link between </w:t>
      </w:r>
      <w:r w:rsidR="001F5B58" w:rsidRPr="008210C1">
        <w:rPr>
          <w:rFonts w:ascii="Times New Roman" w:hAnsi="Times New Roman" w:cs="Times New Roman"/>
          <w:sz w:val="24"/>
          <w:szCs w:val="24"/>
          <w:lang w:val="en-US"/>
        </w:rPr>
        <w:t>government</w:t>
      </w:r>
      <w:r w:rsidR="008078DF" w:rsidRPr="008210C1">
        <w:rPr>
          <w:rFonts w:ascii="Times New Roman" w:hAnsi="Times New Roman" w:cs="Times New Roman"/>
          <w:sz w:val="24"/>
          <w:szCs w:val="24"/>
          <w:lang w:val="en-US"/>
        </w:rPr>
        <w:t>al</w:t>
      </w:r>
      <w:r w:rsidR="00BA0397" w:rsidRPr="008210C1">
        <w:rPr>
          <w:rFonts w:ascii="Times New Roman" w:hAnsi="Times New Roman" w:cs="Times New Roman"/>
          <w:sz w:val="24"/>
          <w:szCs w:val="24"/>
          <w:lang w:val="en-US"/>
        </w:rPr>
        <w:t xml:space="preserve"> actions and </w:t>
      </w:r>
      <w:r w:rsidR="00532FED" w:rsidRPr="008210C1">
        <w:rPr>
          <w:rFonts w:ascii="Times New Roman" w:hAnsi="Times New Roman" w:cs="Times New Roman"/>
          <w:sz w:val="24"/>
          <w:szCs w:val="24"/>
          <w:lang w:val="en-US"/>
        </w:rPr>
        <w:t xml:space="preserve">the </w:t>
      </w:r>
      <w:r w:rsidR="007B58E8" w:rsidRPr="008210C1">
        <w:rPr>
          <w:rFonts w:ascii="Times New Roman" w:hAnsi="Times New Roman" w:cs="Times New Roman"/>
          <w:sz w:val="24"/>
          <w:szCs w:val="24"/>
          <w:lang w:val="en-US"/>
        </w:rPr>
        <w:t xml:space="preserve">prevailing </w:t>
      </w:r>
      <w:r w:rsidR="00BA0397" w:rsidRPr="008210C1">
        <w:rPr>
          <w:rFonts w:ascii="Times New Roman" w:hAnsi="Times New Roman" w:cs="Times New Roman"/>
          <w:sz w:val="24"/>
          <w:szCs w:val="24"/>
          <w:lang w:val="en-US"/>
        </w:rPr>
        <w:t>conventions</w:t>
      </w:r>
      <w:r w:rsidR="008078DF" w:rsidRPr="008210C1">
        <w:rPr>
          <w:rFonts w:ascii="Times New Roman" w:hAnsi="Times New Roman" w:cs="Times New Roman"/>
          <w:sz w:val="24"/>
          <w:szCs w:val="24"/>
          <w:lang w:val="en-US"/>
        </w:rPr>
        <w:t>, emphasizing</w:t>
      </w:r>
      <w:r w:rsidR="00BA0397" w:rsidRPr="008210C1">
        <w:rPr>
          <w:rFonts w:ascii="Times New Roman" w:hAnsi="Times New Roman" w:cs="Times New Roman"/>
          <w:sz w:val="24"/>
          <w:szCs w:val="24"/>
          <w:lang w:val="en-US"/>
        </w:rPr>
        <w:t xml:space="preserve"> the role of fiscal and monetary policies</w:t>
      </w:r>
      <w:r w:rsidR="007B58E8" w:rsidRPr="008210C1">
        <w:rPr>
          <w:rFonts w:ascii="Times New Roman" w:hAnsi="Times New Roman" w:cs="Times New Roman"/>
          <w:sz w:val="24"/>
          <w:szCs w:val="24"/>
          <w:lang w:val="en-US"/>
        </w:rPr>
        <w:t xml:space="preserve">, </w:t>
      </w:r>
      <w:r w:rsidR="00A8355F" w:rsidRPr="008210C1">
        <w:rPr>
          <w:rFonts w:ascii="Times New Roman" w:hAnsi="Times New Roman" w:cs="Times New Roman"/>
          <w:sz w:val="24"/>
          <w:szCs w:val="24"/>
          <w:lang w:val="en-US"/>
        </w:rPr>
        <w:t>“</w:t>
      </w:r>
      <w:r w:rsidR="00BA0397" w:rsidRPr="008210C1">
        <w:rPr>
          <w:rFonts w:ascii="Times New Roman" w:hAnsi="Times New Roman" w:cs="Times New Roman"/>
          <w:sz w:val="24"/>
          <w:szCs w:val="24"/>
          <w:lang w:val="en-US"/>
        </w:rPr>
        <w:t xml:space="preserve">the long-term market-rate of interest will depend, not only on the current policy of the monetary authority, but also on market expectations concerning </w:t>
      </w:r>
      <w:r w:rsidR="00263CBA" w:rsidRPr="008210C1">
        <w:rPr>
          <w:rFonts w:ascii="Times New Roman" w:hAnsi="Times New Roman" w:cs="Times New Roman"/>
          <w:sz w:val="24"/>
          <w:szCs w:val="24"/>
          <w:lang w:val="en-US"/>
        </w:rPr>
        <w:t xml:space="preserve">its future policy” </w:t>
      </w:r>
      <w:r w:rsidR="00BA0397" w:rsidRPr="008210C1">
        <w:rPr>
          <w:rFonts w:ascii="Times New Roman" w:hAnsi="Times New Roman" w:cs="Times New Roman"/>
          <w:sz w:val="24"/>
          <w:szCs w:val="24"/>
          <w:lang w:val="en-US"/>
        </w:rPr>
        <w:t xml:space="preserve">(p. </w:t>
      </w:r>
      <w:r w:rsidR="00FD1969" w:rsidRPr="008210C1">
        <w:rPr>
          <w:rFonts w:ascii="Times New Roman" w:hAnsi="Times New Roman" w:cs="Times New Roman"/>
          <w:sz w:val="24"/>
          <w:szCs w:val="24"/>
          <w:lang w:val="en-US"/>
        </w:rPr>
        <w:t>202</w:t>
      </w:r>
      <w:r w:rsidR="00AC6C26" w:rsidRPr="008210C1">
        <w:rPr>
          <w:rFonts w:ascii="Times New Roman" w:hAnsi="Times New Roman" w:cs="Times New Roman"/>
          <w:sz w:val="24"/>
          <w:szCs w:val="24"/>
          <w:lang w:val="en-US"/>
        </w:rPr>
        <w:t>), and</w:t>
      </w:r>
    </w:p>
    <w:p w:rsidR="004F2C9E" w:rsidRPr="008210C1" w:rsidRDefault="00AB45C5" w:rsidP="008210C1">
      <w:pPr>
        <w:spacing w:after="0" w:line="240" w:lineRule="auto"/>
        <w:ind w:left="226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w:t>
      </w:r>
      <w:r w:rsidR="00BA0397" w:rsidRPr="008210C1">
        <w:rPr>
          <w:rFonts w:ascii="Times New Roman" w:hAnsi="Times New Roman" w:cs="Times New Roman"/>
          <w:sz w:val="24"/>
          <w:szCs w:val="24"/>
          <w:lang w:val="en-US"/>
        </w:rPr>
        <w:t>The State will have to exercise a guiding influence on the propensity to consume partly through its scheme of taxation, partly by fixing the rate of interest</w:t>
      </w:r>
      <w:r w:rsidR="002B4057"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w:t>
      </w:r>
      <w:r w:rsidR="002B4057" w:rsidRPr="008210C1">
        <w:rPr>
          <w:rFonts w:ascii="Times New Roman" w:hAnsi="Times New Roman" w:cs="Times New Roman"/>
          <w:sz w:val="24"/>
          <w:szCs w:val="24"/>
          <w:lang w:val="en-US"/>
        </w:rPr>
        <w:t>]</w:t>
      </w:r>
      <w:r w:rsidR="00723D85"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I conceive, therefore, that a somewhat comprehensive socialization of investment will prove the only means of securing an approximation to full employment</w:t>
      </w:r>
      <w:r w:rsidR="00263CBA" w:rsidRPr="008210C1">
        <w:rPr>
          <w:rFonts w:ascii="Times New Roman" w:hAnsi="Times New Roman" w:cs="Times New Roman"/>
          <w:sz w:val="24"/>
          <w:szCs w:val="24"/>
          <w:lang w:val="en-US"/>
        </w:rPr>
        <w:t xml:space="preserve">.” (p. </w:t>
      </w:r>
      <w:r w:rsidR="00FD1969" w:rsidRPr="008210C1">
        <w:rPr>
          <w:rFonts w:ascii="Times New Roman" w:hAnsi="Times New Roman" w:cs="Times New Roman"/>
          <w:sz w:val="24"/>
          <w:szCs w:val="24"/>
          <w:lang w:val="en-US"/>
        </w:rPr>
        <w:t>378</w:t>
      </w:r>
      <w:r w:rsidR="00263CBA" w:rsidRPr="008210C1">
        <w:rPr>
          <w:rFonts w:ascii="Times New Roman" w:hAnsi="Times New Roman" w:cs="Times New Roman"/>
          <w:sz w:val="24"/>
          <w:szCs w:val="24"/>
          <w:lang w:val="en-US"/>
        </w:rPr>
        <w:t>)</w:t>
      </w:r>
    </w:p>
    <w:p w:rsidR="00344F4A" w:rsidRPr="008210C1" w:rsidRDefault="00344F4A" w:rsidP="008210C1">
      <w:pPr>
        <w:spacing w:after="0" w:line="240" w:lineRule="auto"/>
        <w:ind w:left="2268"/>
        <w:jc w:val="both"/>
        <w:rPr>
          <w:rFonts w:ascii="Times New Roman" w:hAnsi="Times New Roman" w:cs="Times New Roman"/>
          <w:sz w:val="24"/>
          <w:szCs w:val="24"/>
          <w:lang w:val="en-US"/>
        </w:rPr>
      </w:pPr>
    </w:p>
    <w:p w:rsidR="004F2C9E" w:rsidRPr="008210C1" w:rsidRDefault="00263CBA"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Ferrari-Filho and </w:t>
      </w:r>
      <w:proofErr w:type="spellStart"/>
      <w:r w:rsidRPr="008210C1">
        <w:rPr>
          <w:rFonts w:ascii="Times New Roman" w:hAnsi="Times New Roman" w:cs="Times New Roman"/>
          <w:sz w:val="24"/>
          <w:szCs w:val="24"/>
          <w:lang w:val="en-US"/>
        </w:rPr>
        <w:t>Conceição</w:t>
      </w:r>
      <w:proofErr w:type="spellEnd"/>
      <w:r w:rsidRPr="008210C1">
        <w:rPr>
          <w:rFonts w:ascii="Times New Roman" w:hAnsi="Times New Roman" w:cs="Times New Roman"/>
          <w:sz w:val="24"/>
          <w:szCs w:val="24"/>
          <w:lang w:val="en-US"/>
        </w:rPr>
        <w:t xml:space="preserve"> (2005) and </w:t>
      </w:r>
      <w:proofErr w:type="spellStart"/>
      <w:r w:rsidRPr="008210C1">
        <w:rPr>
          <w:rFonts w:ascii="Times New Roman" w:hAnsi="Times New Roman" w:cs="Times New Roman"/>
          <w:sz w:val="24"/>
          <w:szCs w:val="24"/>
          <w:lang w:val="en-US"/>
        </w:rPr>
        <w:t>Arestis</w:t>
      </w:r>
      <w:proofErr w:type="spellEnd"/>
      <w:r w:rsidRPr="008210C1">
        <w:rPr>
          <w:rFonts w:ascii="Times New Roman" w:hAnsi="Times New Roman" w:cs="Times New Roman"/>
          <w:sz w:val="24"/>
          <w:szCs w:val="24"/>
          <w:lang w:val="en-US"/>
        </w:rPr>
        <w:t xml:space="preserve"> et al</w:t>
      </w:r>
      <w:r w:rsidR="00234C8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(2016) interpreted </w:t>
      </w:r>
      <w:r w:rsidR="00BA0397" w:rsidRPr="008210C1">
        <w:rPr>
          <w:rFonts w:ascii="Times New Roman" w:hAnsi="Times New Roman" w:cs="Times New Roman"/>
          <w:sz w:val="24"/>
          <w:szCs w:val="24"/>
          <w:lang w:val="en-US"/>
        </w:rPr>
        <w:t>Keyne</w:t>
      </w:r>
      <w:r w:rsidRPr="008210C1">
        <w:rPr>
          <w:rFonts w:ascii="Times New Roman" w:hAnsi="Times New Roman" w:cs="Times New Roman"/>
          <w:sz w:val="24"/>
          <w:szCs w:val="24"/>
          <w:lang w:val="en-US"/>
        </w:rPr>
        <w:t>s’ ‘socialization of investment’</w:t>
      </w:r>
      <w:r w:rsidR="00234C8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 xml:space="preserve">concerning the </w:t>
      </w:r>
      <w:r w:rsidRPr="008210C1">
        <w:rPr>
          <w:rFonts w:ascii="Times New Roman" w:hAnsi="Times New Roman" w:cs="Times New Roman"/>
          <w:sz w:val="24"/>
          <w:szCs w:val="24"/>
          <w:lang w:val="en-US"/>
        </w:rPr>
        <w:t xml:space="preserve">government </w:t>
      </w:r>
      <w:r w:rsidR="00BA0397" w:rsidRPr="008210C1">
        <w:rPr>
          <w:rFonts w:ascii="Times New Roman" w:hAnsi="Times New Roman" w:cs="Times New Roman"/>
          <w:sz w:val="24"/>
          <w:szCs w:val="24"/>
          <w:lang w:val="en-US"/>
        </w:rPr>
        <w:t>role in prov</w:t>
      </w:r>
      <w:r w:rsidRPr="008210C1">
        <w:rPr>
          <w:rFonts w:ascii="Times New Roman" w:hAnsi="Times New Roman" w:cs="Times New Roman"/>
          <w:sz w:val="24"/>
          <w:szCs w:val="24"/>
          <w:lang w:val="en-US"/>
        </w:rPr>
        <w:t xml:space="preserve">iding institutional mechanisms </w:t>
      </w:r>
      <w:r w:rsidR="00BA0397" w:rsidRPr="008210C1">
        <w:rPr>
          <w:rFonts w:ascii="Times New Roman" w:hAnsi="Times New Roman" w:cs="Times New Roman"/>
          <w:sz w:val="24"/>
          <w:szCs w:val="24"/>
          <w:lang w:val="en-US"/>
        </w:rPr>
        <w:t xml:space="preserve">to mitigate uncertainty and stimulate investment. </w:t>
      </w:r>
      <w:r w:rsidR="00532FED" w:rsidRPr="008210C1">
        <w:rPr>
          <w:rFonts w:ascii="Times New Roman" w:hAnsi="Times New Roman" w:cs="Times New Roman"/>
          <w:sz w:val="24"/>
          <w:szCs w:val="24"/>
          <w:lang w:val="en-US"/>
        </w:rPr>
        <w:t>Accordingly</w:t>
      </w:r>
      <w:r w:rsidR="00BA0397" w:rsidRPr="008210C1">
        <w:rPr>
          <w:rFonts w:ascii="Times New Roman" w:hAnsi="Times New Roman" w:cs="Times New Roman"/>
          <w:sz w:val="24"/>
          <w:szCs w:val="24"/>
          <w:lang w:val="en-US"/>
        </w:rPr>
        <w:t xml:space="preserve">, </w:t>
      </w:r>
      <w:proofErr w:type="spellStart"/>
      <w:r w:rsidR="00BA0397" w:rsidRPr="008210C1">
        <w:rPr>
          <w:rFonts w:ascii="Times New Roman" w:hAnsi="Times New Roman" w:cs="Times New Roman"/>
          <w:sz w:val="24"/>
          <w:szCs w:val="24"/>
          <w:lang w:val="en-US"/>
        </w:rPr>
        <w:t>Marcuzzo</w:t>
      </w:r>
      <w:proofErr w:type="spellEnd"/>
      <w:r w:rsidR="00BA0397" w:rsidRPr="008210C1">
        <w:rPr>
          <w:rFonts w:ascii="Times New Roman" w:hAnsi="Times New Roman" w:cs="Times New Roman"/>
          <w:sz w:val="24"/>
          <w:szCs w:val="24"/>
          <w:lang w:val="en-US"/>
        </w:rPr>
        <w:t xml:space="preserve"> (2010) argues that Keynes</w:t>
      </w:r>
      <w:r w:rsidR="00532FED" w:rsidRPr="008210C1">
        <w:rPr>
          <w:rFonts w:ascii="Times New Roman" w:hAnsi="Times New Roman" w:cs="Times New Roman"/>
          <w:sz w:val="24"/>
          <w:szCs w:val="24"/>
          <w:lang w:val="en-US"/>
        </w:rPr>
        <w:t>’</w:t>
      </w:r>
      <w:r w:rsidR="00BA0397" w:rsidRPr="008210C1">
        <w:rPr>
          <w:rFonts w:ascii="Times New Roman" w:hAnsi="Times New Roman" w:cs="Times New Roman"/>
          <w:sz w:val="24"/>
          <w:szCs w:val="24"/>
          <w:lang w:val="en-US"/>
        </w:rPr>
        <w:t xml:space="preserve"> (1980a) suggest</w:t>
      </w:r>
      <w:r w:rsidR="00D1342C" w:rsidRPr="008210C1">
        <w:rPr>
          <w:rFonts w:ascii="Times New Roman" w:hAnsi="Times New Roman" w:cs="Times New Roman"/>
          <w:sz w:val="24"/>
          <w:szCs w:val="24"/>
          <w:lang w:val="en-US"/>
        </w:rPr>
        <w:t xml:space="preserve">ions on </w:t>
      </w:r>
      <w:r w:rsidR="00FA05C6" w:rsidRPr="008210C1">
        <w:rPr>
          <w:rFonts w:ascii="Times New Roman" w:hAnsi="Times New Roman" w:cs="Times New Roman"/>
          <w:sz w:val="24"/>
          <w:szCs w:val="24"/>
          <w:lang w:val="en-US"/>
        </w:rPr>
        <w:t>fiscal policy (</w:t>
      </w:r>
      <w:r w:rsidR="00162D99" w:rsidRPr="008210C1">
        <w:rPr>
          <w:rFonts w:ascii="Times New Roman" w:hAnsi="Times New Roman" w:cs="Times New Roman"/>
          <w:sz w:val="24"/>
          <w:szCs w:val="24"/>
          <w:lang w:val="en-US"/>
        </w:rPr>
        <w:t>FP</w:t>
      </w:r>
      <w:r w:rsidR="00FA05C6" w:rsidRPr="008210C1">
        <w:rPr>
          <w:rFonts w:ascii="Times New Roman" w:hAnsi="Times New Roman" w:cs="Times New Roman"/>
          <w:sz w:val="24"/>
          <w:szCs w:val="24"/>
          <w:lang w:val="en-US"/>
        </w:rPr>
        <w:t>)</w:t>
      </w:r>
      <w:r w:rsidR="00344F4A" w:rsidRPr="008210C1">
        <w:rPr>
          <w:rFonts w:ascii="Times New Roman" w:hAnsi="Times New Roman" w:cs="Times New Roman"/>
          <w:sz w:val="24"/>
          <w:szCs w:val="24"/>
          <w:lang w:val="en-US"/>
        </w:rPr>
        <w:t xml:space="preserve"> </w:t>
      </w:r>
      <w:r w:rsidR="00532FED" w:rsidRPr="008210C1">
        <w:rPr>
          <w:rFonts w:ascii="Times New Roman" w:hAnsi="Times New Roman" w:cs="Times New Roman"/>
          <w:sz w:val="24"/>
          <w:szCs w:val="24"/>
          <w:lang w:val="en-US"/>
        </w:rPr>
        <w:t xml:space="preserve">account </w:t>
      </w:r>
      <w:r w:rsidRPr="008210C1">
        <w:rPr>
          <w:rFonts w:ascii="Times New Roman" w:hAnsi="Times New Roman" w:cs="Times New Roman"/>
          <w:sz w:val="24"/>
          <w:szCs w:val="24"/>
          <w:lang w:val="en-US"/>
        </w:rPr>
        <w:t>for</w:t>
      </w:r>
      <w:r w:rsidR="00BA0397" w:rsidRPr="008210C1">
        <w:rPr>
          <w:rFonts w:ascii="Times New Roman" w:hAnsi="Times New Roman" w:cs="Times New Roman"/>
          <w:sz w:val="24"/>
          <w:szCs w:val="24"/>
          <w:lang w:val="en-US"/>
        </w:rPr>
        <w:t xml:space="preserve"> stabilizing confidence – that is, conventions. This same interpretation is compatible with Minsky's</w:t>
      </w:r>
      <w:r w:rsidR="00D1342C" w:rsidRPr="008210C1">
        <w:rPr>
          <w:rFonts w:ascii="Times New Roman" w:hAnsi="Times New Roman" w:cs="Times New Roman"/>
          <w:sz w:val="24"/>
          <w:szCs w:val="24"/>
          <w:lang w:val="en-US"/>
        </w:rPr>
        <w:t xml:space="preserve"> (1986)</w:t>
      </w:r>
      <w:r w:rsidR="00BA0397" w:rsidRPr="008210C1">
        <w:rPr>
          <w:rFonts w:ascii="Times New Roman" w:hAnsi="Times New Roman" w:cs="Times New Roman"/>
          <w:sz w:val="24"/>
          <w:szCs w:val="24"/>
          <w:lang w:val="en-US"/>
        </w:rPr>
        <w:t xml:space="preserve"> ‘Big</w:t>
      </w:r>
      <w:r w:rsidR="00210B23" w:rsidRPr="008210C1">
        <w:rPr>
          <w:rFonts w:ascii="Times New Roman" w:hAnsi="Times New Roman" w:cs="Times New Roman"/>
          <w:sz w:val="24"/>
          <w:szCs w:val="24"/>
          <w:lang w:val="en-US"/>
        </w:rPr>
        <w:t xml:space="preserve"> </w:t>
      </w:r>
      <w:r w:rsidR="00994011" w:rsidRPr="008210C1">
        <w:rPr>
          <w:rFonts w:ascii="Times New Roman" w:hAnsi="Times New Roman" w:cs="Times New Roman"/>
          <w:sz w:val="24"/>
          <w:szCs w:val="24"/>
          <w:lang w:val="en-US"/>
        </w:rPr>
        <w:t>Government</w:t>
      </w:r>
      <w:r w:rsidR="00BA0397" w:rsidRPr="008210C1">
        <w:rPr>
          <w:rFonts w:ascii="Times New Roman" w:hAnsi="Times New Roman" w:cs="Times New Roman"/>
          <w:sz w:val="24"/>
          <w:szCs w:val="24"/>
          <w:lang w:val="en-US"/>
        </w:rPr>
        <w:t>’</w:t>
      </w:r>
      <w:r w:rsidR="000D1C68" w:rsidRPr="008210C1">
        <w:rPr>
          <w:rFonts w:ascii="Times New Roman" w:hAnsi="Times New Roman" w:cs="Times New Roman"/>
          <w:sz w:val="24"/>
          <w:szCs w:val="24"/>
          <w:lang w:val="en-US"/>
        </w:rPr>
        <w:t xml:space="preserve"> and ‘Big Bank’</w:t>
      </w:r>
      <w:r w:rsidR="00BA0397" w:rsidRPr="008210C1">
        <w:rPr>
          <w:rFonts w:ascii="Times New Roman" w:hAnsi="Times New Roman" w:cs="Times New Roman"/>
          <w:sz w:val="24"/>
          <w:szCs w:val="24"/>
          <w:lang w:val="en-US"/>
        </w:rPr>
        <w:t xml:space="preserve">, </w:t>
      </w:r>
      <w:r w:rsidR="00BA0397" w:rsidRPr="008210C1">
        <w:rPr>
          <w:rFonts w:ascii="Times New Roman" w:hAnsi="Times New Roman" w:cs="Times New Roman"/>
          <w:color w:val="000000"/>
          <w:sz w:val="24"/>
          <w:szCs w:val="24"/>
          <w:shd w:val="clear" w:color="auto" w:fill="FFFFFF"/>
          <w:lang w:val="en-US"/>
        </w:rPr>
        <w:t>institution</w:t>
      </w:r>
      <w:r w:rsidR="000D1C68" w:rsidRPr="008210C1">
        <w:rPr>
          <w:rFonts w:ascii="Times New Roman" w:hAnsi="Times New Roman" w:cs="Times New Roman"/>
          <w:color w:val="000000"/>
          <w:sz w:val="24"/>
          <w:szCs w:val="24"/>
          <w:shd w:val="clear" w:color="auto" w:fill="FFFFFF"/>
          <w:lang w:val="en-US"/>
        </w:rPr>
        <w:t>s</w:t>
      </w:r>
      <w:r w:rsidR="00BA0397" w:rsidRPr="008210C1">
        <w:rPr>
          <w:rFonts w:ascii="Times New Roman" w:hAnsi="Times New Roman" w:cs="Times New Roman"/>
          <w:color w:val="000000"/>
          <w:sz w:val="24"/>
          <w:szCs w:val="24"/>
          <w:shd w:val="clear" w:color="auto" w:fill="FFFFFF"/>
          <w:lang w:val="en-US"/>
        </w:rPr>
        <w:t xml:space="preserve"> which </w:t>
      </w:r>
      <w:r w:rsidR="001C0A99" w:rsidRPr="008210C1">
        <w:rPr>
          <w:rFonts w:ascii="Times New Roman" w:hAnsi="Times New Roman" w:cs="Times New Roman"/>
          <w:color w:val="000000"/>
          <w:sz w:val="24"/>
          <w:szCs w:val="24"/>
          <w:shd w:val="clear" w:color="auto" w:fill="FFFFFF"/>
          <w:lang w:val="en-US"/>
        </w:rPr>
        <w:t>ensure</w:t>
      </w:r>
      <w:r w:rsidR="00811E5D" w:rsidRPr="008210C1">
        <w:rPr>
          <w:rFonts w:ascii="Times New Roman" w:hAnsi="Times New Roman" w:cs="Times New Roman"/>
          <w:color w:val="000000"/>
          <w:sz w:val="24"/>
          <w:szCs w:val="24"/>
          <w:shd w:val="clear" w:color="auto" w:fill="FFFFFF"/>
          <w:lang w:val="en-US"/>
        </w:rPr>
        <w:t xml:space="preserve"> </w:t>
      </w:r>
      <w:r w:rsidR="00D1342C" w:rsidRPr="008210C1">
        <w:rPr>
          <w:rFonts w:ascii="Times New Roman" w:hAnsi="Times New Roman" w:cs="Times New Roman"/>
          <w:color w:val="000000"/>
          <w:sz w:val="24"/>
          <w:szCs w:val="24"/>
          <w:shd w:val="clear" w:color="auto" w:fill="FFFFFF"/>
          <w:lang w:val="en-US"/>
        </w:rPr>
        <w:t xml:space="preserve">economic </w:t>
      </w:r>
      <w:r w:rsidR="00BA0397" w:rsidRPr="008210C1">
        <w:rPr>
          <w:rFonts w:ascii="Times New Roman" w:hAnsi="Times New Roman" w:cs="Times New Roman"/>
          <w:color w:val="000000"/>
          <w:sz w:val="24"/>
          <w:szCs w:val="24"/>
          <w:shd w:val="clear" w:color="auto" w:fill="FFFFFF"/>
          <w:lang w:val="en-US"/>
        </w:rPr>
        <w:t>stability and regulat</w:t>
      </w:r>
      <w:r w:rsidR="001C0A99" w:rsidRPr="008210C1">
        <w:rPr>
          <w:rFonts w:ascii="Times New Roman" w:hAnsi="Times New Roman" w:cs="Times New Roman"/>
          <w:color w:val="000000"/>
          <w:sz w:val="24"/>
          <w:szCs w:val="24"/>
          <w:shd w:val="clear" w:color="auto" w:fill="FFFFFF"/>
          <w:lang w:val="en-US"/>
        </w:rPr>
        <w:t>e</w:t>
      </w:r>
      <w:r w:rsidR="00BA0397" w:rsidRPr="008210C1">
        <w:rPr>
          <w:rFonts w:ascii="Times New Roman" w:hAnsi="Times New Roman" w:cs="Times New Roman"/>
          <w:color w:val="000000"/>
          <w:sz w:val="24"/>
          <w:szCs w:val="24"/>
          <w:shd w:val="clear" w:color="auto" w:fill="FFFFFF"/>
          <w:lang w:val="en-US"/>
        </w:rPr>
        <w:t xml:space="preserve"> </w:t>
      </w:r>
      <w:r w:rsidR="001C0A99" w:rsidRPr="008210C1">
        <w:rPr>
          <w:rFonts w:ascii="Times New Roman" w:hAnsi="Times New Roman" w:cs="Times New Roman"/>
          <w:color w:val="000000"/>
          <w:sz w:val="24"/>
          <w:szCs w:val="24"/>
          <w:shd w:val="clear" w:color="auto" w:fill="FFFFFF"/>
          <w:lang w:val="en-US"/>
        </w:rPr>
        <w:t>the</w:t>
      </w:r>
      <w:r w:rsidR="00BA0397" w:rsidRPr="008210C1">
        <w:rPr>
          <w:rFonts w:ascii="Times New Roman" w:hAnsi="Times New Roman" w:cs="Times New Roman"/>
          <w:color w:val="000000"/>
          <w:sz w:val="24"/>
          <w:szCs w:val="24"/>
          <w:shd w:val="clear" w:color="auto" w:fill="FFFFFF"/>
          <w:lang w:val="en-US"/>
        </w:rPr>
        <w:t xml:space="preserve"> unstable financial system.</w:t>
      </w:r>
      <w:r w:rsidR="00811E5D" w:rsidRPr="008210C1">
        <w:rPr>
          <w:rFonts w:ascii="Times New Roman" w:hAnsi="Times New Roman" w:cs="Times New Roman"/>
          <w:color w:val="000000"/>
          <w:sz w:val="24"/>
          <w:szCs w:val="24"/>
          <w:shd w:val="clear" w:color="auto" w:fill="FFFFFF"/>
          <w:lang w:val="en-US"/>
        </w:rPr>
        <w:t xml:space="preserve"> </w:t>
      </w:r>
      <w:r w:rsidR="00BA0397" w:rsidRPr="008210C1">
        <w:rPr>
          <w:rFonts w:ascii="Times New Roman" w:hAnsi="Times New Roman" w:cs="Times New Roman"/>
          <w:sz w:val="24"/>
          <w:szCs w:val="24"/>
          <w:lang w:val="en-US"/>
        </w:rPr>
        <w:t xml:space="preserve">As </w:t>
      </w:r>
      <w:proofErr w:type="spellStart"/>
      <w:r w:rsidR="00BA0397" w:rsidRPr="008210C1">
        <w:rPr>
          <w:rFonts w:ascii="Times New Roman" w:hAnsi="Times New Roman" w:cs="Times New Roman"/>
          <w:sz w:val="24"/>
          <w:szCs w:val="24"/>
          <w:lang w:val="en-US"/>
        </w:rPr>
        <w:t>Arestis</w:t>
      </w:r>
      <w:proofErr w:type="spellEnd"/>
      <w:r w:rsidR="00BA0397" w:rsidRPr="008210C1">
        <w:rPr>
          <w:rFonts w:ascii="Times New Roman" w:hAnsi="Times New Roman" w:cs="Times New Roman"/>
          <w:sz w:val="24"/>
          <w:szCs w:val="24"/>
          <w:lang w:val="en-US"/>
        </w:rPr>
        <w:t xml:space="preserve"> et al</w:t>
      </w:r>
      <w:r w:rsidR="00234C8F" w:rsidRPr="008210C1">
        <w:rPr>
          <w:rFonts w:ascii="Times New Roman" w:hAnsi="Times New Roman" w:cs="Times New Roman"/>
          <w:sz w:val="24"/>
          <w:szCs w:val="24"/>
          <w:lang w:val="en-US"/>
        </w:rPr>
        <w:t>.</w:t>
      </w:r>
      <w:r w:rsidR="00BA0397" w:rsidRPr="008210C1">
        <w:rPr>
          <w:rFonts w:ascii="Times New Roman" w:hAnsi="Times New Roman" w:cs="Times New Roman"/>
          <w:sz w:val="24"/>
          <w:szCs w:val="24"/>
          <w:lang w:val="en-US"/>
        </w:rPr>
        <w:t xml:space="preserve"> (2016</w:t>
      </w:r>
      <w:r w:rsidR="00234C8F" w:rsidRPr="008210C1">
        <w:rPr>
          <w:rFonts w:ascii="Times New Roman" w:hAnsi="Times New Roman" w:cs="Times New Roman"/>
          <w:sz w:val="24"/>
          <w:szCs w:val="24"/>
          <w:lang w:val="en-US"/>
        </w:rPr>
        <w:t xml:space="preserve">) </w:t>
      </w:r>
      <w:r w:rsidR="00296E02" w:rsidRPr="008210C1">
        <w:rPr>
          <w:rFonts w:ascii="Times New Roman" w:hAnsi="Times New Roman" w:cs="Times New Roman"/>
          <w:sz w:val="24"/>
          <w:szCs w:val="24"/>
          <w:lang w:val="en-US"/>
        </w:rPr>
        <w:t>argue</w:t>
      </w:r>
      <w:r w:rsidR="00234C8F" w:rsidRPr="008210C1">
        <w:rPr>
          <w:rFonts w:ascii="Times New Roman" w:hAnsi="Times New Roman" w:cs="Times New Roman"/>
          <w:sz w:val="24"/>
          <w:szCs w:val="24"/>
          <w:lang w:val="en-US"/>
        </w:rPr>
        <w:t xml:space="preserve">: </w:t>
      </w:r>
    </w:p>
    <w:p w:rsidR="004F2C9E" w:rsidRPr="008210C1" w:rsidRDefault="00BA0397" w:rsidP="008210C1">
      <w:pPr>
        <w:spacing w:after="0" w:line="240" w:lineRule="auto"/>
        <w:ind w:left="226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“In this uncertain world</w:t>
      </w:r>
      <w:r w:rsidR="001C0A99"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w:t>
      </w:r>
      <w:r w:rsidR="001C0A99"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economic policy is the main source of solidity that private enterprises have to support their expectations and investment. In this sense, economic policy </w:t>
      </w:r>
      <w:r w:rsidR="001C0A99"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w:t>
      </w:r>
      <w:r w:rsidR="001C0A99"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in a context of coordination and discretion, </w:t>
      </w:r>
      <w:proofErr w:type="gramStart"/>
      <w:r w:rsidRPr="008210C1">
        <w:rPr>
          <w:rFonts w:ascii="Times New Roman" w:hAnsi="Times New Roman" w:cs="Times New Roman"/>
          <w:sz w:val="24"/>
          <w:szCs w:val="24"/>
          <w:lang w:val="en-US"/>
        </w:rPr>
        <w:t>is capable of facing</w:t>
      </w:r>
      <w:proofErr w:type="gramEnd"/>
      <w:r w:rsidRPr="008210C1">
        <w:rPr>
          <w:rFonts w:ascii="Times New Roman" w:hAnsi="Times New Roman" w:cs="Times New Roman"/>
          <w:sz w:val="24"/>
          <w:szCs w:val="24"/>
          <w:lang w:val="en-US"/>
        </w:rPr>
        <w:t xml:space="preserve"> insufficient effective demand as well as building a good institutional environment, which is essential to keep the entrepreneurs’ expectations confident and stimulate their animal spirits”</w:t>
      </w:r>
      <w:r w:rsidR="00234C8F" w:rsidRPr="008210C1">
        <w:rPr>
          <w:rFonts w:ascii="Times New Roman" w:hAnsi="Times New Roman" w:cs="Times New Roman"/>
          <w:sz w:val="24"/>
          <w:szCs w:val="24"/>
          <w:lang w:val="en-US"/>
        </w:rPr>
        <w:t xml:space="preserve"> (p. 151).</w:t>
      </w:r>
    </w:p>
    <w:p w:rsidR="004F2C9E" w:rsidRPr="008210C1" w:rsidRDefault="004F2C9E" w:rsidP="008210C1">
      <w:pPr>
        <w:spacing w:after="0" w:line="240" w:lineRule="auto"/>
        <w:ind w:left="2268"/>
        <w:jc w:val="both"/>
        <w:rPr>
          <w:rFonts w:ascii="Times New Roman" w:hAnsi="Times New Roman" w:cs="Times New Roman"/>
          <w:sz w:val="24"/>
          <w:szCs w:val="24"/>
          <w:lang w:val="en-US"/>
        </w:rPr>
      </w:pPr>
    </w:p>
    <w:p w:rsidR="004F2C9E" w:rsidRPr="008210C1" w:rsidRDefault="00AE3DDB"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S</w:t>
      </w:r>
      <w:r w:rsidR="00BA0397" w:rsidRPr="008210C1">
        <w:rPr>
          <w:rFonts w:ascii="Times New Roman" w:hAnsi="Times New Roman" w:cs="Times New Roman"/>
          <w:sz w:val="24"/>
          <w:szCs w:val="24"/>
          <w:lang w:val="en-US"/>
        </w:rPr>
        <w:t xml:space="preserve">uccessful policies depend on the </w:t>
      </w:r>
      <w:r w:rsidR="001F5B58" w:rsidRPr="008210C1">
        <w:rPr>
          <w:rFonts w:ascii="Times New Roman" w:hAnsi="Times New Roman" w:cs="Times New Roman"/>
          <w:sz w:val="24"/>
          <w:szCs w:val="24"/>
          <w:lang w:val="en-US"/>
        </w:rPr>
        <w:t>government</w:t>
      </w:r>
      <w:r w:rsidR="009E0ED5"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 xml:space="preserve">persuading the agents </w:t>
      </w:r>
      <w:r w:rsidR="00B32212" w:rsidRPr="008210C1">
        <w:rPr>
          <w:rFonts w:ascii="Times New Roman" w:hAnsi="Times New Roman" w:cs="Times New Roman"/>
          <w:sz w:val="24"/>
          <w:szCs w:val="24"/>
          <w:lang w:val="en-US"/>
        </w:rPr>
        <w:t xml:space="preserve">not only </w:t>
      </w:r>
      <w:r w:rsidR="00BA0397" w:rsidRPr="008210C1">
        <w:rPr>
          <w:rFonts w:ascii="Times New Roman" w:hAnsi="Times New Roman" w:cs="Times New Roman"/>
          <w:sz w:val="24"/>
          <w:szCs w:val="24"/>
          <w:lang w:val="en-US"/>
        </w:rPr>
        <w:t xml:space="preserve">that </w:t>
      </w:r>
      <w:r w:rsidR="001C0A99" w:rsidRPr="008210C1">
        <w:rPr>
          <w:rFonts w:ascii="Times New Roman" w:hAnsi="Times New Roman" w:cs="Times New Roman"/>
          <w:sz w:val="24"/>
          <w:szCs w:val="24"/>
          <w:lang w:val="en-US"/>
        </w:rPr>
        <w:t xml:space="preserve">its </w:t>
      </w:r>
      <w:r w:rsidR="00BA0397" w:rsidRPr="008210C1">
        <w:rPr>
          <w:rFonts w:ascii="Times New Roman" w:hAnsi="Times New Roman" w:cs="Times New Roman"/>
          <w:sz w:val="24"/>
          <w:szCs w:val="24"/>
          <w:lang w:val="en-US"/>
        </w:rPr>
        <w:t>actions are in the right way</w:t>
      </w:r>
      <w:r w:rsidR="00B32212" w:rsidRPr="008210C1">
        <w:rPr>
          <w:rFonts w:ascii="Times New Roman" w:hAnsi="Times New Roman" w:cs="Times New Roman"/>
          <w:sz w:val="24"/>
          <w:szCs w:val="24"/>
          <w:lang w:val="en-US"/>
        </w:rPr>
        <w:t>, but also</w:t>
      </w:r>
      <w:r w:rsidR="00994011" w:rsidRPr="008210C1">
        <w:rPr>
          <w:rFonts w:ascii="Times New Roman" w:hAnsi="Times New Roman" w:cs="Times New Roman"/>
          <w:sz w:val="24"/>
          <w:szCs w:val="24"/>
          <w:lang w:val="en-US"/>
        </w:rPr>
        <w:t xml:space="preserve"> that </w:t>
      </w:r>
      <w:r w:rsidR="0028443E" w:rsidRPr="008210C1">
        <w:rPr>
          <w:rFonts w:ascii="Times New Roman" w:hAnsi="Times New Roman" w:cs="Times New Roman"/>
          <w:sz w:val="24"/>
          <w:szCs w:val="24"/>
          <w:lang w:val="en-US"/>
        </w:rPr>
        <w:t>people</w:t>
      </w:r>
      <w:r w:rsidR="00994011" w:rsidRPr="008210C1">
        <w:rPr>
          <w:rFonts w:ascii="Times New Roman" w:hAnsi="Times New Roman" w:cs="Times New Roman"/>
          <w:sz w:val="24"/>
          <w:szCs w:val="24"/>
          <w:lang w:val="en-US"/>
        </w:rPr>
        <w:t xml:space="preserve"> believe</w:t>
      </w:r>
      <w:r w:rsidR="001C0A99" w:rsidRPr="008210C1">
        <w:rPr>
          <w:rFonts w:ascii="Times New Roman" w:hAnsi="Times New Roman" w:cs="Times New Roman"/>
          <w:sz w:val="24"/>
          <w:szCs w:val="24"/>
          <w:lang w:val="en-US"/>
        </w:rPr>
        <w:t xml:space="preserve"> </w:t>
      </w:r>
      <w:r w:rsidR="00994011" w:rsidRPr="008210C1">
        <w:rPr>
          <w:rFonts w:ascii="Times New Roman" w:hAnsi="Times New Roman" w:cs="Times New Roman"/>
          <w:sz w:val="24"/>
          <w:szCs w:val="24"/>
          <w:lang w:val="en-US"/>
        </w:rPr>
        <w:t>it</w:t>
      </w:r>
      <w:r w:rsidR="000D1C68"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w:t>
      </w:r>
      <w:r w:rsidR="000A5876" w:rsidRPr="008210C1">
        <w:rPr>
          <w:rFonts w:ascii="Times New Roman" w:hAnsi="Times New Roman" w:cs="Times New Roman"/>
          <w:sz w:val="24"/>
          <w:szCs w:val="24"/>
          <w:lang w:val="en-US"/>
        </w:rPr>
        <w:t>a</w:t>
      </w:r>
      <w:r w:rsidR="00BA0397" w:rsidRPr="008210C1">
        <w:rPr>
          <w:rFonts w:ascii="Times New Roman" w:hAnsi="Times New Roman" w:cs="Times New Roman"/>
          <w:sz w:val="24"/>
          <w:szCs w:val="24"/>
          <w:lang w:val="en-US"/>
        </w:rPr>
        <w:t xml:space="preserve"> convention is a tool deployed to coordinate expectations that inform each agent what the other ones expect from a given st</w:t>
      </w:r>
      <w:r w:rsidR="00DD0C21" w:rsidRPr="008210C1">
        <w:rPr>
          <w:rFonts w:ascii="Times New Roman" w:hAnsi="Times New Roman" w:cs="Times New Roman"/>
          <w:sz w:val="24"/>
          <w:szCs w:val="24"/>
          <w:lang w:val="en-US"/>
        </w:rPr>
        <w:t>imulus” (Carvalho, 2014, p. 257</w:t>
      </w:r>
      <w:r w:rsidR="00BA0397" w:rsidRPr="008210C1">
        <w:rPr>
          <w:rFonts w:ascii="Times New Roman" w:hAnsi="Times New Roman" w:cs="Times New Roman"/>
          <w:sz w:val="24"/>
          <w:szCs w:val="24"/>
          <w:lang w:val="en-US"/>
        </w:rPr>
        <w:t>).</w:t>
      </w:r>
      <w:r w:rsidR="000A5876" w:rsidRPr="008210C1">
        <w:rPr>
          <w:rFonts w:ascii="Times New Roman" w:hAnsi="Times New Roman" w:cs="Times New Roman"/>
          <w:sz w:val="24"/>
          <w:szCs w:val="24"/>
          <w:lang w:val="en-US"/>
        </w:rPr>
        <w:t xml:space="preserve"> Also</w:t>
      </w:r>
      <w:r w:rsidR="00BA0397" w:rsidRPr="008210C1">
        <w:rPr>
          <w:rFonts w:ascii="Times New Roman" w:hAnsi="Times New Roman" w:cs="Times New Roman"/>
          <w:sz w:val="24"/>
          <w:szCs w:val="24"/>
          <w:lang w:val="en-US"/>
        </w:rPr>
        <w:t xml:space="preserve">, the effectiveness of economic policies </w:t>
      </w:r>
      <w:r w:rsidR="00316831" w:rsidRPr="008210C1">
        <w:rPr>
          <w:rFonts w:ascii="Times New Roman" w:hAnsi="Times New Roman" w:cs="Times New Roman"/>
          <w:sz w:val="24"/>
          <w:szCs w:val="24"/>
          <w:lang w:val="en-US"/>
        </w:rPr>
        <w:t>rest</w:t>
      </w:r>
      <w:r w:rsidR="00BA0397" w:rsidRPr="008210C1">
        <w:rPr>
          <w:rFonts w:ascii="Times New Roman" w:hAnsi="Times New Roman" w:cs="Times New Roman"/>
          <w:sz w:val="24"/>
          <w:szCs w:val="24"/>
          <w:lang w:val="en-US"/>
        </w:rPr>
        <w:t xml:space="preserve"> on the strength of the dominant convention, i.e. it depends on </w:t>
      </w:r>
      <w:r w:rsidR="00316831" w:rsidRPr="008210C1">
        <w:rPr>
          <w:rFonts w:ascii="Times New Roman" w:hAnsi="Times New Roman" w:cs="Times New Roman"/>
          <w:sz w:val="24"/>
          <w:szCs w:val="24"/>
          <w:lang w:val="en-US"/>
        </w:rPr>
        <w:t>how many</w:t>
      </w:r>
      <w:r w:rsidR="00BA0397" w:rsidRPr="008210C1">
        <w:rPr>
          <w:rFonts w:ascii="Times New Roman" w:hAnsi="Times New Roman" w:cs="Times New Roman"/>
          <w:sz w:val="24"/>
          <w:szCs w:val="24"/>
          <w:lang w:val="en-US"/>
        </w:rPr>
        <w:t xml:space="preserve"> individuals are confident that the others share the same belief and that the </w:t>
      </w:r>
      <w:r w:rsidR="001F5B58" w:rsidRPr="008210C1">
        <w:rPr>
          <w:rFonts w:ascii="Times New Roman" w:hAnsi="Times New Roman" w:cs="Times New Roman"/>
          <w:sz w:val="24"/>
          <w:szCs w:val="24"/>
          <w:lang w:val="en-US"/>
        </w:rPr>
        <w:t>government</w:t>
      </w:r>
      <w:r w:rsidR="00BA0397" w:rsidRPr="008210C1">
        <w:rPr>
          <w:rFonts w:ascii="Times New Roman" w:hAnsi="Times New Roman" w:cs="Times New Roman"/>
          <w:sz w:val="24"/>
          <w:szCs w:val="24"/>
          <w:lang w:val="en-US"/>
        </w:rPr>
        <w:t xml:space="preserve"> is reliable</w:t>
      </w:r>
      <w:r w:rsidR="00D052D6"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enough to allow a common opinion that its intentions are trustworthy.</w:t>
      </w:r>
      <w:r w:rsidR="000A5876" w:rsidRPr="008210C1">
        <w:rPr>
          <w:rFonts w:ascii="Times New Roman" w:hAnsi="Times New Roman" w:cs="Times New Roman"/>
          <w:sz w:val="24"/>
          <w:szCs w:val="24"/>
          <w:lang w:val="en-US"/>
        </w:rPr>
        <w:t xml:space="preserve"> Given that,</w:t>
      </w:r>
      <w:r w:rsidR="00210B23" w:rsidRPr="008210C1">
        <w:rPr>
          <w:rFonts w:ascii="Times New Roman" w:hAnsi="Times New Roman" w:cs="Times New Roman"/>
          <w:sz w:val="24"/>
          <w:szCs w:val="24"/>
          <w:lang w:val="en-US"/>
        </w:rPr>
        <w:t xml:space="preserve"> </w:t>
      </w:r>
      <w:r w:rsidR="00BA0397" w:rsidRPr="008210C1">
        <w:rPr>
          <w:rFonts w:ascii="Times New Roman" w:hAnsi="Times New Roman" w:cs="Times New Roman"/>
          <w:sz w:val="24"/>
          <w:szCs w:val="24"/>
          <w:lang w:val="en-US"/>
        </w:rPr>
        <w:t xml:space="preserve">Carvalho (2014) argued that the </w:t>
      </w:r>
      <w:r w:rsidR="000A5876" w:rsidRPr="008210C1">
        <w:rPr>
          <w:rFonts w:ascii="Times New Roman" w:hAnsi="Times New Roman" w:cs="Times New Roman"/>
          <w:sz w:val="24"/>
          <w:szCs w:val="24"/>
          <w:lang w:val="en-US"/>
        </w:rPr>
        <w:t xml:space="preserve">agents </w:t>
      </w:r>
      <w:r w:rsidR="006049BA" w:rsidRPr="008210C1">
        <w:rPr>
          <w:rFonts w:ascii="Times New Roman" w:hAnsi="Times New Roman" w:cs="Times New Roman"/>
          <w:sz w:val="24"/>
          <w:szCs w:val="24"/>
          <w:lang w:val="en-US"/>
        </w:rPr>
        <w:t xml:space="preserve">are </w:t>
      </w:r>
      <w:r w:rsidR="000A5876" w:rsidRPr="008210C1">
        <w:rPr>
          <w:rFonts w:ascii="Times New Roman" w:hAnsi="Times New Roman" w:cs="Times New Roman"/>
          <w:sz w:val="24"/>
          <w:szCs w:val="24"/>
          <w:lang w:val="en-US"/>
        </w:rPr>
        <w:t xml:space="preserve">more sensible </w:t>
      </w:r>
      <w:r w:rsidR="00BA0397" w:rsidRPr="008210C1">
        <w:rPr>
          <w:rFonts w:ascii="Times New Roman" w:hAnsi="Times New Roman" w:cs="Times New Roman"/>
          <w:sz w:val="24"/>
          <w:szCs w:val="24"/>
          <w:lang w:val="en-US"/>
        </w:rPr>
        <w:t xml:space="preserve">to the </w:t>
      </w:r>
      <w:r w:rsidR="000A5876" w:rsidRPr="008210C1">
        <w:rPr>
          <w:rFonts w:ascii="Times New Roman" w:hAnsi="Times New Roman" w:cs="Times New Roman"/>
          <w:sz w:val="24"/>
          <w:szCs w:val="24"/>
          <w:lang w:val="en-US"/>
        </w:rPr>
        <w:t xml:space="preserve">government </w:t>
      </w:r>
      <w:r w:rsidR="00BA0397" w:rsidRPr="008210C1">
        <w:rPr>
          <w:rFonts w:ascii="Times New Roman" w:hAnsi="Times New Roman" w:cs="Times New Roman"/>
          <w:sz w:val="24"/>
          <w:szCs w:val="24"/>
          <w:lang w:val="en-US"/>
        </w:rPr>
        <w:t>policies when they</w:t>
      </w:r>
      <w:r w:rsidR="00D052D6" w:rsidRPr="008210C1">
        <w:rPr>
          <w:rFonts w:ascii="Times New Roman" w:hAnsi="Times New Roman" w:cs="Times New Roman"/>
          <w:sz w:val="24"/>
          <w:szCs w:val="24"/>
          <w:lang w:val="en-US"/>
        </w:rPr>
        <w:t xml:space="preserve"> </w:t>
      </w:r>
      <w:r w:rsidR="006049BA" w:rsidRPr="008210C1">
        <w:rPr>
          <w:rFonts w:ascii="Times New Roman" w:hAnsi="Times New Roman" w:cs="Times New Roman"/>
          <w:sz w:val="24"/>
          <w:szCs w:val="24"/>
          <w:lang w:val="en-US"/>
        </w:rPr>
        <w:t xml:space="preserve">have </w:t>
      </w:r>
      <w:r w:rsidR="00BA0397" w:rsidRPr="008210C1">
        <w:rPr>
          <w:rFonts w:ascii="Times New Roman" w:hAnsi="Times New Roman" w:cs="Times New Roman"/>
          <w:sz w:val="24"/>
          <w:szCs w:val="24"/>
          <w:lang w:val="en-US"/>
        </w:rPr>
        <w:t>a shared belief</w:t>
      </w:r>
      <w:r w:rsidR="00234C8F" w:rsidRPr="008210C1">
        <w:rPr>
          <w:rFonts w:ascii="Times New Roman" w:hAnsi="Times New Roman" w:cs="Times New Roman"/>
          <w:sz w:val="24"/>
          <w:szCs w:val="24"/>
          <w:lang w:val="en-US"/>
        </w:rPr>
        <w:t>,</w:t>
      </w:r>
      <w:r w:rsidR="00D052D6" w:rsidRPr="008210C1">
        <w:rPr>
          <w:rFonts w:ascii="Times New Roman" w:hAnsi="Times New Roman" w:cs="Times New Roman"/>
          <w:sz w:val="24"/>
          <w:szCs w:val="24"/>
          <w:lang w:val="en-US"/>
        </w:rPr>
        <w:t xml:space="preserve"> </w:t>
      </w:r>
      <w:r w:rsidR="00316831" w:rsidRPr="008210C1">
        <w:rPr>
          <w:rFonts w:ascii="Times New Roman" w:hAnsi="Times New Roman" w:cs="Times New Roman"/>
          <w:sz w:val="24"/>
          <w:szCs w:val="24"/>
          <w:lang w:val="en-US"/>
        </w:rPr>
        <w:t xml:space="preserve">which led a great number of agents </w:t>
      </w:r>
      <w:r w:rsidR="00BA0397" w:rsidRPr="008210C1">
        <w:rPr>
          <w:rFonts w:ascii="Times New Roman" w:hAnsi="Times New Roman" w:cs="Times New Roman"/>
          <w:sz w:val="24"/>
          <w:szCs w:val="24"/>
          <w:lang w:val="en-US"/>
        </w:rPr>
        <w:t>to give a</w:t>
      </w:r>
      <w:r w:rsidR="000A5876" w:rsidRPr="008210C1">
        <w:rPr>
          <w:rFonts w:ascii="Times New Roman" w:hAnsi="Times New Roman" w:cs="Times New Roman"/>
          <w:sz w:val="24"/>
          <w:szCs w:val="24"/>
          <w:lang w:val="en-US"/>
        </w:rPr>
        <w:t xml:space="preserve"> similar</w:t>
      </w:r>
      <w:r w:rsidR="00BA0397" w:rsidRPr="008210C1">
        <w:rPr>
          <w:rFonts w:ascii="Times New Roman" w:hAnsi="Times New Roman" w:cs="Times New Roman"/>
          <w:sz w:val="24"/>
          <w:szCs w:val="24"/>
          <w:lang w:val="en-US"/>
        </w:rPr>
        <w:t xml:space="preserve"> response </w:t>
      </w:r>
      <w:r w:rsidR="003A62B7" w:rsidRPr="008210C1">
        <w:rPr>
          <w:rFonts w:ascii="Times New Roman" w:hAnsi="Times New Roman" w:cs="Times New Roman"/>
          <w:sz w:val="24"/>
          <w:szCs w:val="24"/>
          <w:lang w:val="en-US"/>
        </w:rPr>
        <w:t>to a governmental</w:t>
      </w:r>
      <w:r w:rsidR="00BA0397" w:rsidRPr="008210C1">
        <w:rPr>
          <w:rFonts w:ascii="Times New Roman" w:hAnsi="Times New Roman" w:cs="Times New Roman"/>
          <w:sz w:val="24"/>
          <w:szCs w:val="24"/>
          <w:lang w:val="en-US"/>
        </w:rPr>
        <w:t xml:space="preserve"> stimulus.</w:t>
      </w:r>
    </w:p>
    <w:p w:rsidR="004F2C9E" w:rsidRDefault="00BA0397"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lastRenderedPageBreak/>
        <w:t>Thus,</w:t>
      </w:r>
      <w:r w:rsidR="003627E1" w:rsidRPr="008210C1">
        <w:rPr>
          <w:rFonts w:ascii="Times New Roman" w:hAnsi="Times New Roman" w:cs="Times New Roman"/>
          <w:sz w:val="24"/>
          <w:szCs w:val="24"/>
          <w:lang w:val="en-US"/>
        </w:rPr>
        <w:t xml:space="preserve"> in the Post Keynesian approach, government can guide conventions. Further, </w:t>
      </w:r>
      <w:r w:rsidRPr="008210C1">
        <w:rPr>
          <w:rFonts w:ascii="Times New Roman" w:hAnsi="Times New Roman" w:cs="Times New Roman"/>
          <w:sz w:val="24"/>
          <w:szCs w:val="24"/>
          <w:lang w:val="en-US"/>
        </w:rPr>
        <w:t xml:space="preserve">the success of </w:t>
      </w:r>
      <w:r w:rsidR="003627E1" w:rsidRPr="008210C1">
        <w:rPr>
          <w:rFonts w:ascii="Times New Roman" w:hAnsi="Times New Roman" w:cs="Times New Roman"/>
          <w:sz w:val="24"/>
          <w:szCs w:val="24"/>
          <w:lang w:val="en-US"/>
        </w:rPr>
        <w:t>its</w:t>
      </w:r>
      <w:r w:rsidRPr="008210C1">
        <w:rPr>
          <w:rFonts w:ascii="Times New Roman" w:hAnsi="Times New Roman" w:cs="Times New Roman"/>
          <w:sz w:val="24"/>
          <w:szCs w:val="24"/>
          <w:lang w:val="en-US"/>
        </w:rPr>
        <w:t xml:space="preserve"> policies depends on how proper and pervasive</w:t>
      </w:r>
      <w:r w:rsidR="003627E1" w:rsidRPr="008210C1">
        <w:rPr>
          <w:rFonts w:ascii="Times New Roman" w:hAnsi="Times New Roman" w:cs="Times New Roman"/>
          <w:sz w:val="24"/>
          <w:szCs w:val="24"/>
          <w:lang w:val="en-US"/>
        </w:rPr>
        <w:t xml:space="preserve"> is</w:t>
      </w:r>
      <w:r w:rsidRPr="008210C1">
        <w:rPr>
          <w:rFonts w:ascii="Times New Roman" w:hAnsi="Times New Roman" w:cs="Times New Roman"/>
          <w:sz w:val="24"/>
          <w:szCs w:val="24"/>
          <w:lang w:val="en-US"/>
        </w:rPr>
        <w:t xml:space="preserve"> </w:t>
      </w:r>
      <w:r w:rsidR="002D26F3" w:rsidRPr="008210C1">
        <w:rPr>
          <w:rFonts w:ascii="Times New Roman" w:hAnsi="Times New Roman" w:cs="Times New Roman"/>
          <w:sz w:val="24"/>
          <w:szCs w:val="24"/>
          <w:lang w:val="en-US"/>
        </w:rPr>
        <w:t>a</w:t>
      </w:r>
      <w:r w:rsidR="004C418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convention </w:t>
      </w:r>
      <w:r w:rsidR="003627E1" w:rsidRPr="008210C1">
        <w:rPr>
          <w:rFonts w:ascii="Times New Roman" w:hAnsi="Times New Roman" w:cs="Times New Roman"/>
          <w:sz w:val="24"/>
          <w:szCs w:val="24"/>
          <w:lang w:val="en-US"/>
        </w:rPr>
        <w:t xml:space="preserve">it </w:t>
      </w:r>
      <w:r w:rsidRPr="008210C1">
        <w:rPr>
          <w:rFonts w:ascii="Times New Roman" w:hAnsi="Times New Roman" w:cs="Times New Roman"/>
          <w:sz w:val="24"/>
          <w:szCs w:val="24"/>
          <w:lang w:val="en-US"/>
        </w:rPr>
        <w:t xml:space="preserve">stimulated. </w:t>
      </w:r>
      <w:r w:rsidRPr="008210C1">
        <w:rPr>
          <w:rFonts w:ascii="Times New Roman" w:eastAsia="Times New Roman" w:hAnsi="Times New Roman" w:cs="Times New Roman"/>
          <w:sz w:val="24"/>
          <w:szCs w:val="24"/>
          <w:lang w:val="en-US" w:eastAsia="pt-BR"/>
        </w:rPr>
        <w:t xml:space="preserve">To sum up, </w:t>
      </w:r>
      <w:r w:rsidR="00495D4A" w:rsidRPr="008210C1">
        <w:rPr>
          <w:rFonts w:ascii="Times New Roman" w:eastAsia="Times New Roman" w:hAnsi="Times New Roman" w:cs="Times New Roman"/>
          <w:sz w:val="24"/>
          <w:szCs w:val="24"/>
          <w:lang w:val="en-US" w:eastAsia="pt-BR"/>
        </w:rPr>
        <w:t xml:space="preserve">all means of </w:t>
      </w:r>
      <w:r w:rsidRPr="008210C1">
        <w:rPr>
          <w:rFonts w:ascii="Times New Roman" w:hAnsi="Times New Roman" w:cs="Times New Roman"/>
          <w:sz w:val="24"/>
          <w:szCs w:val="24"/>
          <w:lang w:val="en-US"/>
        </w:rPr>
        <w:t xml:space="preserve">governmental influences </w:t>
      </w:r>
      <w:r w:rsidR="002D26F3" w:rsidRPr="008210C1">
        <w:rPr>
          <w:rFonts w:ascii="Times New Roman" w:hAnsi="Times New Roman" w:cs="Times New Roman"/>
          <w:sz w:val="24"/>
          <w:szCs w:val="24"/>
          <w:lang w:val="en-US"/>
        </w:rPr>
        <w:t>on the</w:t>
      </w:r>
      <w:r w:rsidR="004C418D" w:rsidRPr="008210C1">
        <w:rPr>
          <w:rFonts w:ascii="Times New Roman" w:hAnsi="Times New Roman" w:cs="Times New Roman"/>
          <w:sz w:val="24"/>
          <w:szCs w:val="24"/>
          <w:lang w:val="en-US"/>
        </w:rPr>
        <w:t xml:space="preserve"> </w:t>
      </w:r>
      <w:r w:rsidR="002D26F3" w:rsidRPr="008210C1">
        <w:rPr>
          <w:rFonts w:ascii="Times New Roman" w:hAnsi="Times New Roman" w:cs="Times New Roman"/>
          <w:sz w:val="24"/>
          <w:szCs w:val="24"/>
          <w:lang w:val="en-US"/>
        </w:rPr>
        <w:t xml:space="preserve">institutional structure of </w:t>
      </w:r>
      <w:r w:rsidRPr="008210C1">
        <w:rPr>
          <w:rFonts w:ascii="Times New Roman" w:hAnsi="Times New Roman" w:cs="Times New Roman"/>
          <w:sz w:val="24"/>
          <w:szCs w:val="24"/>
          <w:lang w:val="en-US"/>
        </w:rPr>
        <w:t>society</w:t>
      </w:r>
      <w:r w:rsidR="004C418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should be </w:t>
      </w:r>
      <w:r w:rsidR="00495D4A" w:rsidRPr="008210C1">
        <w:rPr>
          <w:rFonts w:ascii="Times New Roman" w:hAnsi="Times New Roman" w:cs="Times New Roman"/>
          <w:sz w:val="24"/>
          <w:szCs w:val="24"/>
          <w:lang w:val="en-US"/>
        </w:rPr>
        <w:t xml:space="preserve">coherently </w:t>
      </w:r>
      <w:r w:rsidRPr="008210C1">
        <w:rPr>
          <w:rFonts w:ascii="Times New Roman" w:hAnsi="Times New Roman" w:cs="Times New Roman"/>
          <w:sz w:val="24"/>
          <w:szCs w:val="24"/>
          <w:lang w:val="en-US"/>
        </w:rPr>
        <w:t xml:space="preserve">coordinated </w:t>
      </w:r>
      <w:r w:rsidR="00AD2DD4" w:rsidRPr="008210C1">
        <w:rPr>
          <w:rFonts w:ascii="Times New Roman" w:hAnsi="Times New Roman" w:cs="Times New Roman"/>
          <w:sz w:val="24"/>
          <w:szCs w:val="24"/>
          <w:lang w:val="en-US"/>
        </w:rPr>
        <w:t>t</w:t>
      </w:r>
      <w:r w:rsidRPr="008210C1">
        <w:rPr>
          <w:rFonts w:ascii="Times New Roman" w:hAnsi="Times New Roman" w:cs="Times New Roman"/>
          <w:sz w:val="24"/>
          <w:szCs w:val="24"/>
          <w:lang w:val="en-US"/>
        </w:rPr>
        <w:t>o guide</w:t>
      </w:r>
      <w:r w:rsidR="003627E1"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conv</w:t>
      </w:r>
      <w:r w:rsidR="0015526A" w:rsidRPr="008210C1">
        <w:rPr>
          <w:rFonts w:ascii="Times New Roman" w:hAnsi="Times New Roman" w:cs="Times New Roman"/>
          <w:sz w:val="24"/>
          <w:szCs w:val="24"/>
          <w:lang w:val="en-US"/>
        </w:rPr>
        <w:t>entions. So, wh</w:t>
      </w:r>
      <w:r w:rsidR="00234C8F" w:rsidRPr="008210C1">
        <w:rPr>
          <w:rFonts w:ascii="Times New Roman" w:hAnsi="Times New Roman" w:cs="Times New Roman"/>
          <w:sz w:val="24"/>
          <w:szCs w:val="24"/>
          <w:lang w:val="en-US"/>
        </w:rPr>
        <w:t>at</w:t>
      </w:r>
      <w:r w:rsidR="0015526A" w:rsidRPr="008210C1">
        <w:rPr>
          <w:rFonts w:ascii="Times New Roman" w:hAnsi="Times New Roman" w:cs="Times New Roman"/>
          <w:sz w:val="24"/>
          <w:szCs w:val="24"/>
          <w:lang w:val="en-US"/>
        </w:rPr>
        <w:t xml:space="preserve"> are the goals and operational guidelines of the Post Keynesian macroeconomic policies?</w:t>
      </w:r>
    </w:p>
    <w:p w:rsidR="00A51FC1" w:rsidRPr="008210C1" w:rsidRDefault="00A51FC1" w:rsidP="008210C1">
      <w:pPr>
        <w:spacing w:after="0" w:line="240" w:lineRule="auto"/>
        <w:ind w:firstLine="709"/>
        <w:jc w:val="both"/>
        <w:rPr>
          <w:rFonts w:ascii="Times New Roman" w:hAnsi="Times New Roman" w:cs="Times New Roman"/>
          <w:sz w:val="24"/>
          <w:szCs w:val="24"/>
          <w:lang w:val="en-US"/>
        </w:rPr>
      </w:pPr>
    </w:p>
    <w:p w:rsidR="004F2C9E" w:rsidRPr="008210C1" w:rsidRDefault="00BA0397" w:rsidP="008210C1">
      <w:pPr>
        <w:spacing w:after="0" w:line="240" w:lineRule="auto"/>
        <w:jc w:val="both"/>
        <w:outlineLvl w:val="0"/>
        <w:rPr>
          <w:rFonts w:ascii="Times New Roman" w:eastAsia="Times New Roman" w:hAnsi="Times New Roman" w:cs="Times New Roman"/>
          <w:b/>
          <w:sz w:val="24"/>
          <w:szCs w:val="24"/>
          <w:lang w:val="en-US" w:eastAsia="pt-BR"/>
        </w:rPr>
      </w:pPr>
      <w:r w:rsidRPr="008210C1">
        <w:rPr>
          <w:rFonts w:ascii="Times New Roman" w:eastAsia="Times New Roman" w:hAnsi="Times New Roman" w:cs="Times New Roman"/>
          <w:b/>
          <w:sz w:val="24"/>
          <w:szCs w:val="24"/>
          <w:lang w:val="en-US" w:eastAsia="pt-BR"/>
        </w:rPr>
        <w:t xml:space="preserve">3. </w:t>
      </w:r>
      <w:r w:rsidR="00085594" w:rsidRPr="008210C1">
        <w:rPr>
          <w:rFonts w:ascii="Times New Roman" w:hAnsi="Times New Roman" w:cs="Times New Roman"/>
          <w:b/>
          <w:sz w:val="24"/>
          <w:szCs w:val="24"/>
          <w:lang w:val="en-US"/>
        </w:rPr>
        <w:t>Post Keynesian macroeconomic policy mix</w:t>
      </w:r>
    </w:p>
    <w:p w:rsidR="004F2C9E" w:rsidRDefault="00BA0397" w:rsidP="008210C1">
      <w:pPr>
        <w:spacing w:after="0" w:line="240" w:lineRule="auto"/>
        <w:ind w:firstLine="709"/>
        <w:jc w:val="both"/>
        <w:rPr>
          <w:rFonts w:ascii="Times New Roman" w:hAnsi="Times New Roman" w:cs="Times New Roman"/>
          <w:sz w:val="24"/>
          <w:szCs w:val="24"/>
          <w:lang w:val="en-US"/>
        </w:rPr>
      </w:pPr>
      <w:proofErr w:type="spellStart"/>
      <w:r w:rsidRPr="008210C1">
        <w:rPr>
          <w:rFonts w:ascii="Times New Roman" w:hAnsi="Times New Roman" w:cs="Times New Roman"/>
          <w:sz w:val="24"/>
          <w:szCs w:val="24"/>
          <w:lang w:val="en-US"/>
        </w:rPr>
        <w:t>Arestis</w:t>
      </w:r>
      <w:proofErr w:type="spellEnd"/>
      <w:r w:rsidRPr="008210C1">
        <w:rPr>
          <w:rFonts w:ascii="Times New Roman" w:hAnsi="Times New Roman" w:cs="Times New Roman"/>
          <w:sz w:val="24"/>
          <w:szCs w:val="24"/>
          <w:lang w:val="en-US"/>
        </w:rPr>
        <w:t xml:space="preserve"> et al</w:t>
      </w:r>
      <w:r w:rsidR="00234C8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(2016) </w:t>
      </w:r>
      <w:r w:rsidR="007F2AC5" w:rsidRPr="008210C1">
        <w:rPr>
          <w:rFonts w:ascii="Times New Roman" w:hAnsi="Times New Roman" w:cs="Times New Roman"/>
          <w:sz w:val="24"/>
          <w:szCs w:val="24"/>
          <w:lang w:val="en-US"/>
        </w:rPr>
        <w:t>explain the three reasons</w:t>
      </w:r>
      <w:r w:rsidRPr="008210C1">
        <w:rPr>
          <w:rFonts w:ascii="Times New Roman" w:hAnsi="Times New Roman" w:cs="Times New Roman"/>
          <w:sz w:val="24"/>
          <w:szCs w:val="24"/>
          <w:lang w:val="en-US"/>
        </w:rPr>
        <w:t xml:space="preserve"> that</w:t>
      </w:r>
      <w:r w:rsidR="007F2AC5" w:rsidRPr="008210C1">
        <w:rPr>
          <w:rFonts w:ascii="Times New Roman" w:hAnsi="Times New Roman" w:cs="Times New Roman"/>
          <w:sz w:val="24"/>
          <w:szCs w:val="24"/>
          <w:lang w:val="en-US"/>
        </w:rPr>
        <w:t xml:space="preserve"> make</w:t>
      </w:r>
      <w:r w:rsidRPr="008210C1">
        <w:rPr>
          <w:rFonts w:ascii="Times New Roman" w:hAnsi="Times New Roman" w:cs="Times New Roman"/>
          <w:sz w:val="24"/>
          <w:szCs w:val="24"/>
          <w:lang w:val="en-US"/>
        </w:rPr>
        <w:t xml:space="preserve"> macroeconomic policy crucial for overcoming unemployment and income inequality</w:t>
      </w:r>
      <w:r w:rsidR="00A51FC1">
        <w:rPr>
          <w:rFonts w:ascii="Times New Roman" w:hAnsi="Times New Roman" w:cs="Times New Roman"/>
          <w:sz w:val="24"/>
          <w:szCs w:val="24"/>
          <w:lang w:val="en-US"/>
        </w:rPr>
        <w:t>:</w:t>
      </w:r>
    </w:p>
    <w:p w:rsidR="00A51FC1" w:rsidRPr="008210C1" w:rsidRDefault="00A51FC1" w:rsidP="008210C1">
      <w:pPr>
        <w:spacing w:after="0" w:line="240" w:lineRule="auto"/>
        <w:ind w:firstLine="709"/>
        <w:jc w:val="both"/>
        <w:rPr>
          <w:rFonts w:ascii="Times New Roman" w:hAnsi="Times New Roman" w:cs="Times New Roman"/>
          <w:sz w:val="24"/>
          <w:szCs w:val="24"/>
          <w:lang w:val="en-US"/>
        </w:rPr>
      </w:pPr>
    </w:p>
    <w:p w:rsidR="004F2C9E" w:rsidRPr="008210C1" w:rsidRDefault="00BA0397" w:rsidP="008210C1">
      <w:pPr>
        <w:spacing w:after="0" w:line="240" w:lineRule="auto"/>
        <w:ind w:left="226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“Firstly, they serve as an anchor to the business sector’s expectations, signaling the general tendency the government pursues</w:t>
      </w:r>
      <w:r w:rsidR="00156C35"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 Secondly, one of the macroeconomic policies, namely the fiscal one, </w:t>
      </w:r>
      <w:proofErr w:type="gramStart"/>
      <w:r w:rsidRPr="008210C1">
        <w:rPr>
          <w:rFonts w:ascii="Times New Roman" w:hAnsi="Times New Roman" w:cs="Times New Roman"/>
          <w:sz w:val="24"/>
          <w:szCs w:val="24"/>
          <w:lang w:val="en-US"/>
        </w:rPr>
        <w:t>is able to</w:t>
      </w:r>
      <w:proofErr w:type="gramEnd"/>
      <w:r w:rsidRPr="008210C1">
        <w:rPr>
          <w:rFonts w:ascii="Times New Roman" w:hAnsi="Times New Roman" w:cs="Times New Roman"/>
          <w:sz w:val="24"/>
          <w:szCs w:val="24"/>
          <w:lang w:val="en-US"/>
        </w:rPr>
        <w:t xml:space="preserve"> directly impact effective demand</w:t>
      </w:r>
      <w:r w:rsidR="00DA696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 preventing insufficient effective demand. Thirdly, macroeconomic policies, together with the political and juridical stances, build the society’s institutional structure. The more prone-to-business, stable, credible and transparent such environment is, the more it would favor good and trustful expectations, stimulating investments”</w:t>
      </w:r>
      <w:r w:rsidR="00156C35" w:rsidRPr="008210C1">
        <w:rPr>
          <w:rFonts w:ascii="Times New Roman" w:hAnsi="Times New Roman" w:cs="Times New Roman"/>
          <w:sz w:val="24"/>
          <w:szCs w:val="24"/>
          <w:lang w:val="en-US"/>
        </w:rPr>
        <w:t xml:space="preserve"> (p. 153)</w:t>
      </w:r>
      <w:r w:rsidR="00234C8F" w:rsidRPr="008210C1">
        <w:rPr>
          <w:rFonts w:ascii="Times New Roman" w:hAnsi="Times New Roman" w:cs="Times New Roman"/>
          <w:sz w:val="24"/>
          <w:szCs w:val="24"/>
          <w:lang w:val="en-US"/>
        </w:rPr>
        <w:t>.</w:t>
      </w:r>
    </w:p>
    <w:p w:rsidR="004F2C9E" w:rsidRPr="008210C1" w:rsidRDefault="004F2C9E" w:rsidP="008210C1">
      <w:pPr>
        <w:spacing w:after="0" w:line="240" w:lineRule="auto"/>
        <w:ind w:left="2268"/>
        <w:jc w:val="both"/>
        <w:rPr>
          <w:rFonts w:ascii="Times New Roman" w:hAnsi="Times New Roman" w:cs="Times New Roman"/>
          <w:sz w:val="24"/>
          <w:szCs w:val="24"/>
          <w:lang w:val="en-US"/>
        </w:rPr>
      </w:pPr>
    </w:p>
    <w:p w:rsidR="00AD39AE" w:rsidRPr="008210C1" w:rsidRDefault="00C40C45" w:rsidP="008210C1">
      <w:pPr>
        <w:spacing w:after="0" w:line="240" w:lineRule="auto"/>
        <w:ind w:firstLine="709"/>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T</w:t>
      </w:r>
      <w:r w:rsidR="00BA0397" w:rsidRPr="008210C1">
        <w:rPr>
          <w:rFonts w:ascii="Times New Roman" w:eastAsia="Times New Roman" w:hAnsi="Times New Roman" w:cs="Times New Roman"/>
          <w:sz w:val="24"/>
          <w:szCs w:val="24"/>
          <w:lang w:val="en-US" w:eastAsia="pt-BR"/>
        </w:rPr>
        <w:t xml:space="preserve">he State must issue the signals that markets </w:t>
      </w:r>
      <w:r w:rsidR="00156C35" w:rsidRPr="008210C1">
        <w:rPr>
          <w:rFonts w:ascii="Times New Roman" w:eastAsia="Times New Roman" w:hAnsi="Times New Roman" w:cs="Times New Roman"/>
          <w:sz w:val="24"/>
          <w:szCs w:val="24"/>
          <w:lang w:val="en-US" w:eastAsia="pt-BR"/>
        </w:rPr>
        <w:t>cannot</w:t>
      </w:r>
      <w:r w:rsidR="00BA0397" w:rsidRPr="008210C1">
        <w:rPr>
          <w:rFonts w:ascii="Times New Roman" w:eastAsia="Times New Roman" w:hAnsi="Times New Roman" w:cs="Times New Roman"/>
          <w:sz w:val="24"/>
          <w:szCs w:val="24"/>
          <w:lang w:val="en-US" w:eastAsia="pt-BR"/>
        </w:rPr>
        <w:t xml:space="preserve"> furnish, by creating a stable and safe economic environment</w:t>
      </w:r>
      <w:r w:rsidR="00156C35" w:rsidRPr="008210C1">
        <w:rPr>
          <w:rFonts w:ascii="Times New Roman" w:eastAsia="Times New Roman" w:hAnsi="Times New Roman" w:cs="Times New Roman"/>
          <w:sz w:val="24"/>
          <w:szCs w:val="24"/>
          <w:lang w:val="en-US" w:eastAsia="pt-BR"/>
        </w:rPr>
        <w:t xml:space="preserve"> that</w:t>
      </w:r>
      <w:r w:rsidR="00BA0397" w:rsidRPr="008210C1">
        <w:rPr>
          <w:rFonts w:ascii="Times New Roman" w:eastAsia="Times New Roman" w:hAnsi="Times New Roman" w:cs="Times New Roman"/>
          <w:sz w:val="24"/>
          <w:szCs w:val="24"/>
          <w:lang w:val="en-US" w:eastAsia="pt-BR"/>
        </w:rPr>
        <w:t xml:space="preserve"> </w:t>
      </w:r>
      <w:r w:rsidR="00162D99" w:rsidRPr="008210C1">
        <w:rPr>
          <w:rFonts w:ascii="Times New Roman" w:eastAsia="Times New Roman" w:hAnsi="Times New Roman" w:cs="Times New Roman"/>
          <w:sz w:val="24"/>
          <w:szCs w:val="24"/>
          <w:lang w:val="en-US" w:eastAsia="pt-BR"/>
        </w:rPr>
        <w:t>shows</w:t>
      </w:r>
      <w:r w:rsidR="00BA0397" w:rsidRPr="008210C1">
        <w:rPr>
          <w:rFonts w:ascii="Times New Roman" w:eastAsia="Times New Roman" w:hAnsi="Times New Roman" w:cs="Times New Roman"/>
          <w:sz w:val="24"/>
          <w:szCs w:val="24"/>
          <w:lang w:val="en-US" w:eastAsia="pt-BR"/>
        </w:rPr>
        <w:t xml:space="preserve"> the directions it pursue</w:t>
      </w:r>
      <w:r w:rsidR="00162D99" w:rsidRPr="008210C1">
        <w:rPr>
          <w:rFonts w:ascii="Times New Roman" w:eastAsia="Times New Roman" w:hAnsi="Times New Roman" w:cs="Times New Roman"/>
          <w:sz w:val="24"/>
          <w:szCs w:val="24"/>
          <w:lang w:val="en-US" w:eastAsia="pt-BR"/>
        </w:rPr>
        <w:t>s</w:t>
      </w:r>
      <w:r w:rsidR="00BA0397" w:rsidRPr="008210C1">
        <w:rPr>
          <w:rFonts w:ascii="Times New Roman" w:eastAsia="Times New Roman" w:hAnsi="Times New Roman" w:cs="Times New Roman"/>
          <w:sz w:val="24"/>
          <w:szCs w:val="24"/>
          <w:lang w:val="en-US" w:eastAsia="pt-BR"/>
        </w:rPr>
        <w:t xml:space="preserve"> to </w:t>
      </w:r>
      <w:r w:rsidR="00102D52" w:rsidRPr="008210C1">
        <w:rPr>
          <w:rFonts w:ascii="Times New Roman" w:eastAsia="Times New Roman" w:hAnsi="Times New Roman" w:cs="Times New Roman"/>
          <w:sz w:val="24"/>
          <w:szCs w:val="24"/>
          <w:lang w:val="en-US" w:eastAsia="pt-BR"/>
        </w:rPr>
        <w:t xml:space="preserve">generate </w:t>
      </w:r>
      <w:r w:rsidR="004E0328" w:rsidRPr="008210C1">
        <w:rPr>
          <w:rFonts w:ascii="Times New Roman" w:eastAsia="Times New Roman" w:hAnsi="Times New Roman" w:cs="Times New Roman"/>
          <w:sz w:val="24"/>
          <w:szCs w:val="24"/>
          <w:lang w:val="en-US" w:eastAsia="pt-BR"/>
        </w:rPr>
        <w:t>full employment and equitable income share</w:t>
      </w:r>
      <w:r w:rsidR="00BA0397" w:rsidRPr="008210C1">
        <w:rPr>
          <w:rFonts w:ascii="Times New Roman" w:eastAsia="Times New Roman" w:hAnsi="Times New Roman" w:cs="Times New Roman"/>
          <w:sz w:val="24"/>
          <w:szCs w:val="24"/>
          <w:lang w:val="en-US" w:eastAsia="pt-BR"/>
        </w:rPr>
        <w:t>.</w:t>
      </w:r>
      <w:r w:rsidR="004C418D" w:rsidRPr="008210C1">
        <w:rPr>
          <w:rFonts w:ascii="Times New Roman" w:eastAsia="Times New Roman" w:hAnsi="Times New Roman" w:cs="Times New Roman"/>
          <w:sz w:val="24"/>
          <w:szCs w:val="24"/>
          <w:lang w:val="en-US" w:eastAsia="pt-BR"/>
        </w:rPr>
        <w:t xml:space="preserve"> </w:t>
      </w:r>
      <w:r w:rsidR="005205F1" w:rsidRPr="008210C1">
        <w:rPr>
          <w:rFonts w:ascii="Times New Roman" w:eastAsia="Times New Roman" w:hAnsi="Times New Roman" w:cs="Times New Roman"/>
          <w:sz w:val="24"/>
          <w:szCs w:val="24"/>
          <w:lang w:val="en-US" w:eastAsia="pt-BR"/>
        </w:rPr>
        <w:t>Thus</w:t>
      </w:r>
      <w:r w:rsidR="00BA0397" w:rsidRPr="008210C1">
        <w:rPr>
          <w:rFonts w:ascii="Times New Roman" w:eastAsia="Times New Roman" w:hAnsi="Times New Roman" w:cs="Times New Roman"/>
          <w:sz w:val="24"/>
          <w:szCs w:val="24"/>
          <w:lang w:val="en-US" w:eastAsia="pt-BR"/>
        </w:rPr>
        <w:t xml:space="preserve">, </w:t>
      </w:r>
      <w:r w:rsidR="00991BCE" w:rsidRPr="008210C1">
        <w:rPr>
          <w:rFonts w:ascii="Times New Roman" w:eastAsia="Times New Roman" w:hAnsi="Times New Roman" w:cs="Times New Roman"/>
          <w:sz w:val="24"/>
          <w:szCs w:val="24"/>
          <w:lang w:val="en-US" w:eastAsia="pt-BR"/>
        </w:rPr>
        <w:t>a State gain</w:t>
      </w:r>
      <w:r w:rsidR="00C50436" w:rsidRPr="008210C1">
        <w:rPr>
          <w:rFonts w:ascii="Times New Roman" w:eastAsia="Times New Roman" w:hAnsi="Times New Roman" w:cs="Times New Roman"/>
          <w:sz w:val="24"/>
          <w:szCs w:val="24"/>
          <w:lang w:val="en-US" w:eastAsia="pt-BR"/>
        </w:rPr>
        <w:t>s</w:t>
      </w:r>
      <w:r w:rsidR="00991BCE" w:rsidRPr="008210C1">
        <w:rPr>
          <w:rFonts w:ascii="Times New Roman" w:eastAsia="Times New Roman" w:hAnsi="Times New Roman" w:cs="Times New Roman"/>
          <w:sz w:val="24"/>
          <w:szCs w:val="24"/>
          <w:lang w:val="en-US" w:eastAsia="pt-BR"/>
        </w:rPr>
        <w:t xml:space="preserve"> coordination through</w:t>
      </w:r>
      <w:r w:rsidR="00BA0397"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w:t>
      </w:r>
      <w:proofErr w:type="spellStart"/>
      <w:r w:rsidR="00BA0397" w:rsidRPr="008210C1">
        <w:rPr>
          <w:rFonts w:ascii="Times New Roman" w:eastAsia="Times New Roman" w:hAnsi="Times New Roman" w:cs="Times New Roman"/>
          <w:sz w:val="24"/>
          <w:szCs w:val="24"/>
          <w:lang w:val="en-US" w:eastAsia="pt-BR"/>
        </w:rPr>
        <w:t>i</w:t>
      </w:r>
      <w:proofErr w:type="spellEnd"/>
      <w:r w:rsidR="00BA0397" w:rsidRPr="008210C1">
        <w:rPr>
          <w:rFonts w:ascii="Times New Roman" w:eastAsia="Times New Roman" w:hAnsi="Times New Roman" w:cs="Times New Roman"/>
          <w:sz w:val="24"/>
          <w:szCs w:val="24"/>
          <w:lang w:val="en-US" w:eastAsia="pt-BR"/>
        </w:rPr>
        <w:t xml:space="preserve">) institutional reforms to improve the channels that connect agents, leading to better information provision and offsetting income inequalities; </w:t>
      </w:r>
      <w:r w:rsidRPr="008210C1">
        <w:rPr>
          <w:rFonts w:ascii="Times New Roman" w:eastAsia="Times New Roman" w:hAnsi="Times New Roman" w:cs="Times New Roman"/>
          <w:sz w:val="24"/>
          <w:szCs w:val="24"/>
          <w:lang w:val="en-US" w:eastAsia="pt-BR"/>
        </w:rPr>
        <w:t>(</w:t>
      </w:r>
      <w:r w:rsidR="00BA0397" w:rsidRPr="008210C1">
        <w:rPr>
          <w:rFonts w:ascii="Times New Roman" w:eastAsia="Times New Roman" w:hAnsi="Times New Roman" w:cs="Times New Roman"/>
          <w:sz w:val="24"/>
          <w:szCs w:val="24"/>
          <w:lang w:val="en-US" w:eastAsia="pt-BR"/>
        </w:rPr>
        <w:t xml:space="preserve">ii) economic planning </w:t>
      </w:r>
      <w:r w:rsidR="00991BCE" w:rsidRPr="008210C1">
        <w:rPr>
          <w:rFonts w:ascii="Times New Roman" w:eastAsia="Times New Roman" w:hAnsi="Times New Roman" w:cs="Times New Roman"/>
          <w:sz w:val="24"/>
          <w:szCs w:val="24"/>
          <w:lang w:val="en-US" w:eastAsia="pt-BR"/>
        </w:rPr>
        <w:t>to coordinate conventions</w:t>
      </w:r>
      <w:r w:rsidR="00BA0397" w:rsidRPr="008210C1">
        <w:rPr>
          <w:rFonts w:ascii="Times New Roman" w:eastAsia="Times New Roman" w:hAnsi="Times New Roman" w:cs="Times New Roman"/>
          <w:sz w:val="24"/>
          <w:szCs w:val="24"/>
          <w:lang w:val="en-US" w:eastAsia="pt-BR"/>
        </w:rPr>
        <w:t xml:space="preserve"> and </w:t>
      </w:r>
      <w:r w:rsidR="00991BCE" w:rsidRPr="008210C1">
        <w:rPr>
          <w:rFonts w:ascii="Times New Roman" w:eastAsia="Times New Roman" w:hAnsi="Times New Roman" w:cs="Times New Roman"/>
          <w:sz w:val="24"/>
          <w:szCs w:val="24"/>
          <w:lang w:val="en-US" w:eastAsia="pt-BR"/>
        </w:rPr>
        <w:t xml:space="preserve">expectations </w:t>
      </w:r>
      <w:r w:rsidR="00BA0397" w:rsidRPr="008210C1">
        <w:rPr>
          <w:rFonts w:ascii="Times New Roman" w:eastAsia="Times New Roman" w:hAnsi="Times New Roman" w:cs="Times New Roman"/>
          <w:sz w:val="24"/>
          <w:szCs w:val="24"/>
          <w:lang w:val="en-US" w:eastAsia="pt-BR"/>
        </w:rPr>
        <w:t xml:space="preserve">of the economy’s future path; </w:t>
      </w:r>
      <w:r w:rsidR="00E10457" w:rsidRPr="008210C1">
        <w:rPr>
          <w:rFonts w:ascii="Times New Roman" w:eastAsia="Times New Roman" w:hAnsi="Times New Roman" w:cs="Times New Roman"/>
          <w:sz w:val="24"/>
          <w:szCs w:val="24"/>
          <w:lang w:val="en-US" w:eastAsia="pt-BR"/>
        </w:rPr>
        <w:t>(</w:t>
      </w:r>
      <w:r w:rsidR="00734E89" w:rsidRPr="008210C1">
        <w:rPr>
          <w:rFonts w:ascii="Times New Roman" w:eastAsia="Times New Roman" w:hAnsi="Times New Roman" w:cs="Times New Roman"/>
          <w:sz w:val="24"/>
          <w:szCs w:val="24"/>
          <w:lang w:val="en-US" w:eastAsia="pt-BR"/>
        </w:rPr>
        <w:t xml:space="preserve">iii) a </w:t>
      </w:r>
      <w:r w:rsidR="00991BCE" w:rsidRPr="008210C1">
        <w:rPr>
          <w:rFonts w:ascii="Times New Roman" w:eastAsia="Times New Roman" w:hAnsi="Times New Roman" w:cs="Times New Roman"/>
          <w:sz w:val="24"/>
          <w:szCs w:val="24"/>
          <w:lang w:val="en-US" w:eastAsia="pt-BR"/>
        </w:rPr>
        <w:t xml:space="preserve">day-to-day </w:t>
      </w:r>
      <w:r w:rsidR="00734E89" w:rsidRPr="008210C1">
        <w:rPr>
          <w:rFonts w:ascii="Times New Roman" w:eastAsia="Times New Roman" w:hAnsi="Times New Roman" w:cs="Times New Roman"/>
          <w:sz w:val="24"/>
          <w:szCs w:val="24"/>
          <w:lang w:val="en-US" w:eastAsia="pt-BR"/>
        </w:rPr>
        <w:t>concern with</w:t>
      </w:r>
      <w:r w:rsidR="00991BCE" w:rsidRPr="008210C1">
        <w:rPr>
          <w:rFonts w:ascii="Times New Roman" w:eastAsia="Times New Roman" w:hAnsi="Times New Roman" w:cs="Times New Roman"/>
          <w:sz w:val="24"/>
          <w:szCs w:val="24"/>
          <w:lang w:val="en-US" w:eastAsia="pt-BR"/>
        </w:rPr>
        <w:t xml:space="preserve"> the circumstances,</w:t>
      </w:r>
      <w:r w:rsidR="00734E89" w:rsidRPr="008210C1">
        <w:rPr>
          <w:rFonts w:ascii="Times New Roman" w:eastAsia="Times New Roman" w:hAnsi="Times New Roman" w:cs="Times New Roman"/>
          <w:sz w:val="24"/>
          <w:szCs w:val="24"/>
          <w:lang w:val="en-US" w:eastAsia="pt-BR"/>
        </w:rPr>
        <w:t xml:space="preserve"> to face the failures of the monetary economy (Carvalho, 1992; </w:t>
      </w:r>
      <w:proofErr w:type="spellStart"/>
      <w:r w:rsidR="00734E89" w:rsidRPr="008210C1">
        <w:rPr>
          <w:rFonts w:ascii="Times New Roman" w:eastAsia="Times New Roman" w:hAnsi="Times New Roman" w:cs="Times New Roman"/>
          <w:sz w:val="24"/>
          <w:szCs w:val="24"/>
          <w:lang w:val="en-US" w:eastAsia="pt-BR"/>
        </w:rPr>
        <w:t>Arestis</w:t>
      </w:r>
      <w:proofErr w:type="spellEnd"/>
      <w:r w:rsidR="00734E89" w:rsidRPr="008210C1">
        <w:rPr>
          <w:rFonts w:ascii="Times New Roman" w:eastAsia="Times New Roman" w:hAnsi="Times New Roman" w:cs="Times New Roman"/>
          <w:sz w:val="24"/>
          <w:szCs w:val="24"/>
          <w:lang w:val="en-US" w:eastAsia="pt-BR"/>
        </w:rPr>
        <w:t xml:space="preserve"> et al</w:t>
      </w:r>
      <w:r w:rsidR="00234C8F" w:rsidRPr="008210C1">
        <w:rPr>
          <w:rFonts w:ascii="Times New Roman" w:eastAsia="Times New Roman" w:hAnsi="Times New Roman" w:cs="Times New Roman"/>
          <w:sz w:val="24"/>
          <w:szCs w:val="24"/>
          <w:lang w:val="en-US" w:eastAsia="pt-BR"/>
        </w:rPr>
        <w:t>.</w:t>
      </w:r>
      <w:r w:rsidR="00734E89" w:rsidRPr="008210C1">
        <w:rPr>
          <w:rFonts w:ascii="Times New Roman" w:eastAsia="Times New Roman" w:hAnsi="Times New Roman" w:cs="Times New Roman"/>
          <w:sz w:val="24"/>
          <w:szCs w:val="24"/>
          <w:lang w:val="en-US" w:eastAsia="pt-BR"/>
        </w:rPr>
        <w:t>, 2016).</w:t>
      </w:r>
      <w:r w:rsidR="00BC4CCE" w:rsidRPr="008210C1">
        <w:rPr>
          <w:rFonts w:ascii="Times New Roman" w:eastAsia="Times New Roman" w:hAnsi="Times New Roman" w:cs="Times New Roman"/>
          <w:sz w:val="24"/>
          <w:szCs w:val="24"/>
          <w:lang w:val="en-US" w:eastAsia="pt-BR"/>
        </w:rPr>
        <w:t xml:space="preserve"> </w:t>
      </w:r>
      <w:r w:rsidR="00991BCE" w:rsidRPr="008210C1">
        <w:rPr>
          <w:rFonts w:ascii="Times New Roman" w:eastAsia="Times New Roman" w:hAnsi="Times New Roman" w:cs="Times New Roman"/>
          <w:sz w:val="24"/>
          <w:szCs w:val="24"/>
          <w:lang w:val="en-US" w:eastAsia="pt-BR"/>
        </w:rPr>
        <w:t>T</w:t>
      </w:r>
      <w:r w:rsidR="00734E89" w:rsidRPr="008210C1">
        <w:rPr>
          <w:rFonts w:ascii="Times New Roman" w:eastAsia="Times New Roman" w:hAnsi="Times New Roman" w:cs="Times New Roman"/>
          <w:sz w:val="24"/>
          <w:szCs w:val="24"/>
          <w:lang w:val="en-US" w:eastAsia="pt-BR"/>
        </w:rPr>
        <w:t xml:space="preserve">he </w:t>
      </w:r>
      <w:r w:rsidR="00166294" w:rsidRPr="008210C1">
        <w:rPr>
          <w:rFonts w:ascii="Times New Roman" w:eastAsia="Times New Roman" w:hAnsi="Times New Roman" w:cs="Times New Roman"/>
          <w:sz w:val="24"/>
          <w:szCs w:val="24"/>
          <w:lang w:val="en-US" w:eastAsia="pt-BR"/>
        </w:rPr>
        <w:t xml:space="preserve">government </w:t>
      </w:r>
      <w:r w:rsidR="00734E89" w:rsidRPr="008210C1">
        <w:rPr>
          <w:rFonts w:ascii="Times New Roman" w:eastAsia="Times New Roman" w:hAnsi="Times New Roman" w:cs="Times New Roman"/>
          <w:sz w:val="24"/>
          <w:szCs w:val="24"/>
          <w:lang w:val="en-US" w:eastAsia="pt-BR"/>
        </w:rPr>
        <w:t xml:space="preserve">coordination of agents’ expectations is required to manage its </w:t>
      </w:r>
      <w:r w:rsidR="00166294" w:rsidRPr="008210C1">
        <w:rPr>
          <w:rFonts w:ascii="Times New Roman" w:eastAsia="Times New Roman" w:hAnsi="Times New Roman" w:cs="Times New Roman"/>
          <w:sz w:val="24"/>
          <w:szCs w:val="24"/>
          <w:lang w:val="en-US" w:eastAsia="pt-BR"/>
        </w:rPr>
        <w:t>daily</w:t>
      </w:r>
      <w:r w:rsidR="00734E89" w:rsidRPr="008210C1">
        <w:rPr>
          <w:rFonts w:ascii="Times New Roman" w:eastAsia="Times New Roman" w:hAnsi="Times New Roman" w:cs="Times New Roman"/>
          <w:sz w:val="24"/>
          <w:szCs w:val="24"/>
          <w:lang w:val="en-US" w:eastAsia="pt-BR"/>
        </w:rPr>
        <w:t xml:space="preserve"> operation and to </w:t>
      </w:r>
      <w:r w:rsidR="00234C8F" w:rsidRPr="008210C1">
        <w:rPr>
          <w:rFonts w:ascii="Times New Roman" w:eastAsia="Times New Roman" w:hAnsi="Times New Roman" w:cs="Times New Roman"/>
          <w:sz w:val="24"/>
          <w:szCs w:val="24"/>
          <w:lang w:val="en-US" w:eastAsia="pt-BR"/>
        </w:rPr>
        <w:t>lead</w:t>
      </w:r>
      <w:r w:rsidR="00734E89" w:rsidRPr="008210C1">
        <w:rPr>
          <w:rFonts w:ascii="Times New Roman" w:eastAsia="Times New Roman" w:hAnsi="Times New Roman" w:cs="Times New Roman"/>
          <w:sz w:val="24"/>
          <w:szCs w:val="24"/>
          <w:lang w:val="en-US" w:eastAsia="pt-BR"/>
        </w:rPr>
        <w:t xml:space="preserve"> </w:t>
      </w:r>
      <w:r w:rsidR="00EF179C" w:rsidRPr="008210C1">
        <w:rPr>
          <w:rFonts w:ascii="Times New Roman" w:eastAsia="Times New Roman" w:hAnsi="Times New Roman" w:cs="Times New Roman"/>
          <w:sz w:val="24"/>
          <w:szCs w:val="24"/>
          <w:lang w:val="en-US" w:eastAsia="pt-BR"/>
        </w:rPr>
        <w:t>the</w:t>
      </w:r>
      <w:r w:rsidR="00C375C6" w:rsidRPr="008210C1">
        <w:rPr>
          <w:rFonts w:ascii="Times New Roman" w:eastAsia="Times New Roman" w:hAnsi="Times New Roman" w:cs="Times New Roman"/>
          <w:sz w:val="24"/>
          <w:szCs w:val="24"/>
          <w:lang w:val="en-US" w:eastAsia="pt-BR"/>
        </w:rPr>
        <w:t xml:space="preserve"> </w:t>
      </w:r>
      <w:r w:rsidR="00734E89" w:rsidRPr="008210C1">
        <w:rPr>
          <w:rFonts w:ascii="Times New Roman" w:eastAsia="Times New Roman" w:hAnsi="Times New Roman" w:cs="Times New Roman"/>
          <w:sz w:val="24"/>
          <w:szCs w:val="24"/>
          <w:lang w:val="en-US" w:eastAsia="pt-BR"/>
        </w:rPr>
        <w:t>agent</w:t>
      </w:r>
      <w:r w:rsidR="00EF179C" w:rsidRPr="008210C1">
        <w:rPr>
          <w:rFonts w:ascii="Times New Roman" w:eastAsia="Times New Roman" w:hAnsi="Times New Roman" w:cs="Times New Roman"/>
          <w:sz w:val="24"/>
          <w:szCs w:val="24"/>
          <w:lang w:val="en-US" w:eastAsia="pt-BR"/>
        </w:rPr>
        <w:t>s</w:t>
      </w:r>
      <w:r w:rsidR="00734E89" w:rsidRPr="008210C1">
        <w:rPr>
          <w:rFonts w:ascii="Times New Roman" w:eastAsia="Times New Roman" w:hAnsi="Times New Roman" w:cs="Times New Roman"/>
          <w:sz w:val="24"/>
          <w:szCs w:val="24"/>
          <w:lang w:val="en-US" w:eastAsia="pt-BR"/>
        </w:rPr>
        <w:t xml:space="preserve"> towards the </w:t>
      </w:r>
      <w:r w:rsidR="00166294" w:rsidRPr="008210C1">
        <w:rPr>
          <w:rFonts w:ascii="Times New Roman" w:eastAsia="Times New Roman" w:hAnsi="Times New Roman" w:cs="Times New Roman"/>
          <w:sz w:val="24"/>
          <w:szCs w:val="24"/>
          <w:lang w:val="en-US" w:eastAsia="pt-BR"/>
        </w:rPr>
        <w:t>society’s intentions</w:t>
      </w:r>
      <w:r w:rsidR="00734E89" w:rsidRPr="008210C1">
        <w:rPr>
          <w:rFonts w:ascii="Times New Roman" w:eastAsia="Times New Roman" w:hAnsi="Times New Roman" w:cs="Times New Roman"/>
          <w:sz w:val="24"/>
          <w:szCs w:val="24"/>
          <w:lang w:val="en-US" w:eastAsia="pt-BR"/>
        </w:rPr>
        <w:t xml:space="preserve">. </w:t>
      </w:r>
    </w:p>
    <w:p w:rsidR="00417929" w:rsidRPr="008210C1" w:rsidRDefault="001F3E0A" w:rsidP="008210C1">
      <w:pPr>
        <w:spacing w:after="0" w:line="240" w:lineRule="auto"/>
        <w:ind w:firstLine="708"/>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 xml:space="preserve">In </w:t>
      </w:r>
      <w:r w:rsidR="005B24E9" w:rsidRPr="008210C1">
        <w:rPr>
          <w:rFonts w:ascii="Times New Roman" w:eastAsia="Times New Roman" w:hAnsi="Times New Roman" w:cs="Times New Roman"/>
          <w:sz w:val="24"/>
          <w:szCs w:val="24"/>
          <w:lang w:val="en-US" w:eastAsia="pt-BR"/>
        </w:rPr>
        <w:t xml:space="preserve">terms of </w:t>
      </w:r>
      <w:r w:rsidR="00B86B23" w:rsidRPr="008210C1">
        <w:rPr>
          <w:rFonts w:ascii="Times New Roman" w:eastAsia="Times New Roman" w:hAnsi="Times New Roman" w:cs="Times New Roman"/>
          <w:sz w:val="24"/>
          <w:szCs w:val="24"/>
          <w:lang w:val="en-US" w:eastAsia="pt-BR"/>
        </w:rPr>
        <w:t>FP</w:t>
      </w:r>
      <w:r w:rsidR="005B24E9" w:rsidRPr="008210C1">
        <w:rPr>
          <w:rFonts w:ascii="Times New Roman" w:eastAsia="Times New Roman" w:hAnsi="Times New Roman" w:cs="Times New Roman"/>
          <w:sz w:val="24"/>
          <w:szCs w:val="24"/>
          <w:lang w:val="en-US" w:eastAsia="pt-BR"/>
        </w:rPr>
        <w:t>,</w:t>
      </w:r>
      <w:r w:rsidR="00210B23" w:rsidRPr="008210C1">
        <w:rPr>
          <w:rFonts w:ascii="Times New Roman" w:eastAsia="Times New Roman" w:hAnsi="Times New Roman" w:cs="Times New Roman"/>
          <w:sz w:val="24"/>
          <w:szCs w:val="24"/>
          <w:lang w:val="en-US" w:eastAsia="pt-BR"/>
        </w:rPr>
        <w:t xml:space="preserve"> </w:t>
      </w:r>
      <w:r w:rsidR="00DF288E" w:rsidRPr="008210C1">
        <w:rPr>
          <w:rFonts w:ascii="Times New Roman" w:eastAsia="Times New Roman" w:hAnsi="Times New Roman" w:cs="Times New Roman"/>
          <w:sz w:val="24"/>
          <w:szCs w:val="24"/>
          <w:lang w:val="en-US" w:eastAsia="pt-BR"/>
        </w:rPr>
        <w:t xml:space="preserve">Keynes </w:t>
      </w:r>
      <w:r w:rsidR="00234C8F" w:rsidRPr="008210C1">
        <w:rPr>
          <w:rFonts w:ascii="Times New Roman" w:eastAsia="Times New Roman" w:hAnsi="Times New Roman" w:cs="Times New Roman"/>
          <w:sz w:val="24"/>
          <w:szCs w:val="24"/>
          <w:lang w:val="en-US" w:eastAsia="pt-BR"/>
        </w:rPr>
        <w:t>(1980</w:t>
      </w:r>
      <w:r w:rsidR="00AB1CF8" w:rsidRPr="008210C1">
        <w:rPr>
          <w:rFonts w:ascii="Times New Roman" w:eastAsia="Times New Roman" w:hAnsi="Times New Roman" w:cs="Times New Roman"/>
          <w:sz w:val="24"/>
          <w:szCs w:val="24"/>
          <w:lang w:val="en-US" w:eastAsia="pt-BR"/>
        </w:rPr>
        <w:t>a</w:t>
      </w:r>
      <w:r w:rsidR="00234C8F" w:rsidRPr="008210C1">
        <w:rPr>
          <w:rFonts w:ascii="Times New Roman" w:eastAsia="Times New Roman" w:hAnsi="Times New Roman" w:cs="Times New Roman"/>
          <w:sz w:val="24"/>
          <w:szCs w:val="24"/>
          <w:lang w:val="en-US" w:eastAsia="pt-BR"/>
        </w:rPr>
        <w:t xml:space="preserve">) </w:t>
      </w:r>
      <w:r w:rsidR="00DF288E" w:rsidRPr="008210C1">
        <w:rPr>
          <w:rFonts w:ascii="Times New Roman" w:eastAsia="Times New Roman" w:hAnsi="Times New Roman" w:cs="Times New Roman"/>
          <w:sz w:val="24"/>
          <w:szCs w:val="24"/>
          <w:lang w:val="en-US" w:eastAsia="pt-BR"/>
        </w:rPr>
        <w:t>argued that the public spending should be split into two budgets: the ordinary</w:t>
      </w:r>
      <w:r w:rsidR="00447AD4" w:rsidRPr="008210C1">
        <w:rPr>
          <w:rFonts w:ascii="Times New Roman" w:eastAsia="Times New Roman" w:hAnsi="Times New Roman" w:cs="Times New Roman"/>
          <w:sz w:val="24"/>
          <w:szCs w:val="24"/>
          <w:lang w:val="en-US" w:eastAsia="pt-BR"/>
        </w:rPr>
        <w:t xml:space="preserve"> (</w:t>
      </w:r>
      <w:r w:rsidR="00DF288E" w:rsidRPr="008210C1">
        <w:rPr>
          <w:rFonts w:ascii="Times New Roman" w:eastAsia="Times New Roman" w:hAnsi="Times New Roman" w:cs="Times New Roman"/>
          <w:sz w:val="24"/>
          <w:szCs w:val="24"/>
          <w:lang w:val="en-US" w:eastAsia="pt-BR"/>
        </w:rPr>
        <w:t>current</w:t>
      </w:r>
      <w:r w:rsidR="00447AD4" w:rsidRPr="008210C1">
        <w:rPr>
          <w:rFonts w:ascii="Times New Roman" w:eastAsia="Times New Roman" w:hAnsi="Times New Roman" w:cs="Times New Roman"/>
          <w:sz w:val="24"/>
          <w:szCs w:val="24"/>
          <w:lang w:val="en-US" w:eastAsia="pt-BR"/>
        </w:rPr>
        <w:t>)</w:t>
      </w:r>
      <w:r w:rsidR="00DF288E" w:rsidRPr="008210C1">
        <w:rPr>
          <w:rFonts w:ascii="Times New Roman" w:eastAsia="Times New Roman" w:hAnsi="Times New Roman" w:cs="Times New Roman"/>
          <w:sz w:val="24"/>
          <w:szCs w:val="24"/>
          <w:lang w:val="en-US" w:eastAsia="pt-BR"/>
        </w:rPr>
        <w:t xml:space="preserve"> and the capital budget. The </w:t>
      </w:r>
      <w:r w:rsidR="00417929" w:rsidRPr="008210C1">
        <w:rPr>
          <w:rFonts w:ascii="Times New Roman" w:eastAsia="Times New Roman" w:hAnsi="Times New Roman" w:cs="Times New Roman"/>
          <w:sz w:val="24"/>
          <w:szCs w:val="24"/>
          <w:lang w:val="en-US" w:eastAsia="pt-BR"/>
        </w:rPr>
        <w:t>latter</w:t>
      </w:r>
      <w:r w:rsidR="00DF288E" w:rsidRPr="008210C1">
        <w:rPr>
          <w:rFonts w:ascii="Times New Roman" w:eastAsia="Times New Roman" w:hAnsi="Times New Roman" w:cs="Times New Roman"/>
          <w:sz w:val="24"/>
          <w:szCs w:val="24"/>
          <w:lang w:val="en-US" w:eastAsia="pt-BR"/>
        </w:rPr>
        <w:t xml:space="preserve"> cover</w:t>
      </w:r>
      <w:r w:rsidR="00417929" w:rsidRPr="008210C1">
        <w:rPr>
          <w:rFonts w:ascii="Times New Roman" w:eastAsia="Times New Roman" w:hAnsi="Times New Roman" w:cs="Times New Roman"/>
          <w:sz w:val="24"/>
          <w:szCs w:val="24"/>
          <w:lang w:val="en-US" w:eastAsia="pt-BR"/>
        </w:rPr>
        <w:t>s</w:t>
      </w:r>
      <w:r w:rsidR="00DF288E" w:rsidRPr="008210C1">
        <w:rPr>
          <w:rFonts w:ascii="Times New Roman" w:eastAsia="Times New Roman" w:hAnsi="Times New Roman" w:cs="Times New Roman"/>
          <w:sz w:val="24"/>
          <w:szCs w:val="24"/>
          <w:lang w:val="en-US" w:eastAsia="pt-BR"/>
        </w:rPr>
        <w:t xml:space="preserve"> discretionary investment expenditures, </w:t>
      </w:r>
      <w:r w:rsidR="00417929" w:rsidRPr="008210C1">
        <w:rPr>
          <w:rFonts w:ascii="Times New Roman" w:eastAsia="Times New Roman" w:hAnsi="Times New Roman" w:cs="Times New Roman"/>
          <w:sz w:val="24"/>
          <w:szCs w:val="24"/>
          <w:lang w:val="en-US" w:eastAsia="pt-BR"/>
        </w:rPr>
        <w:t>mainly those made by no one if the State does not move them, in</w:t>
      </w:r>
      <w:r w:rsidR="00DF288E" w:rsidRPr="008210C1">
        <w:rPr>
          <w:rFonts w:ascii="Times New Roman" w:eastAsia="Times New Roman" w:hAnsi="Times New Roman" w:cs="Times New Roman"/>
          <w:sz w:val="24"/>
          <w:szCs w:val="24"/>
          <w:lang w:val="en-US" w:eastAsia="pt-BR"/>
        </w:rPr>
        <w:t xml:space="preserve"> a long-term investment plan </w:t>
      </w:r>
      <w:r w:rsidR="00417929" w:rsidRPr="008210C1">
        <w:rPr>
          <w:rFonts w:ascii="Times New Roman" w:eastAsia="Times New Roman" w:hAnsi="Times New Roman" w:cs="Times New Roman"/>
          <w:sz w:val="24"/>
          <w:szCs w:val="24"/>
          <w:lang w:val="en-US" w:eastAsia="pt-BR"/>
        </w:rPr>
        <w:t>that is</w:t>
      </w:r>
      <w:r w:rsidR="00DF288E" w:rsidRPr="008210C1">
        <w:rPr>
          <w:rFonts w:ascii="Times New Roman" w:eastAsia="Times New Roman" w:hAnsi="Times New Roman" w:cs="Times New Roman"/>
          <w:sz w:val="24"/>
          <w:szCs w:val="24"/>
          <w:lang w:val="en-US" w:eastAsia="pt-BR"/>
        </w:rPr>
        <w:t xml:space="preserve"> a device to smooth </w:t>
      </w:r>
      <w:r w:rsidR="00417929" w:rsidRPr="008210C1">
        <w:rPr>
          <w:rFonts w:ascii="Times New Roman" w:eastAsia="Times New Roman" w:hAnsi="Times New Roman" w:cs="Times New Roman"/>
          <w:sz w:val="24"/>
          <w:szCs w:val="24"/>
          <w:lang w:val="en-US" w:eastAsia="pt-BR"/>
        </w:rPr>
        <w:t>economic cycles</w:t>
      </w:r>
      <w:r w:rsidR="00DF288E" w:rsidRPr="008210C1">
        <w:rPr>
          <w:rFonts w:ascii="Times New Roman" w:eastAsia="Times New Roman" w:hAnsi="Times New Roman" w:cs="Times New Roman"/>
          <w:sz w:val="24"/>
          <w:szCs w:val="24"/>
          <w:lang w:val="en-US" w:eastAsia="pt-BR"/>
        </w:rPr>
        <w:t xml:space="preserve"> (</w:t>
      </w:r>
      <w:proofErr w:type="spellStart"/>
      <w:r w:rsidR="00DF288E" w:rsidRPr="008210C1">
        <w:rPr>
          <w:rFonts w:ascii="Times New Roman" w:eastAsia="Times New Roman" w:hAnsi="Times New Roman" w:cs="Times New Roman"/>
          <w:sz w:val="24"/>
          <w:szCs w:val="24"/>
          <w:lang w:val="en-US" w:eastAsia="pt-BR"/>
        </w:rPr>
        <w:t>Arestis</w:t>
      </w:r>
      <w:proofErr w:type="spellEnd"/>
      <w:r w:rsidR="00DF288E" w:rsidRPr="008210C1">
        <w:rPr>
          <w:rFonts w:ascii="Times New Roman" w:eastAsia="Times New Roman" w:hAnsi="Times New Roman" w:cs="Times New Roman"/>
          <w:sz w:val="24"/>
          <w:szCs w:val="24"/>
          <w:lang w:val="en-US" w:eastAsia="pt-BR"/>
        </w:rPr>
        <w:t xml:space="preserve"> et al</w:t>
      </w:r>
      <w:r w:rsidR="00234C8F" w:rsidRPr="008210C1">
        <w:rPr>
          <w:rFonts w:ascii="Times New Roman" w:eastAsia="Times New Roman" w:hAnsi="Times New Roman" w:cs="Times New Roman"/>
          <w:sz w:val="24"/>
          <w:szCs w:val="24"/>
          <w:lang w:val="en-US" w:eastAsia="pt-BR"/>
        </w:rPr>
        <w:t>.</w:t>
      </w:r>
      <w:r w:rsidR="00DF288E" w:rsidRPr="008210C1">
        <w:rPr>
          <w:rFonts w:ascii="Times New Roman" w:eastAsia="Times New Roman" w:hAnsi="Times New Roman" w:cs="Times New Roman"/>
          <w:sz w:val="24"/>
          <w:szCs w:val="24"/>
          <w:lang w:val="en-US" w:eastAsia="pt-BR"/>
        </w:rPr>
        <w:t xml:space="preserve">, 2016). </w:t>
      </w:r>
      <w:r w:rsidR="00D23B0F" w:rsidRPr="008210C1">
        <w:rPr>
          <w:rFonts w:ascii="Times New Roman" w:eastAsia="Times New Roman" w:hAnsi="Times New Roman" w:cs="Times New Roman"/>
          <w:sz w:val="24"/>
          <w:szCs w:val="24"/>
          <w:lang w:val="en-US" w:eastAsia="pt-BR"/>
        </w:rPr>
        <w:t xml:space="preserve">The State must complement, and not compete with, the private sector, creating a crowding-in effect. </w:t>
      </w:r>
      <w:r w:rsidR="00FA05C6" w:rsidRPr="008210C1">
        <w:rPr>
          <w:rFonts w:ascii="Times New Roman" w:eastAsia="Times New Roman" w:hAnsi="Times New Roman" w:cs="Times New Roman"/>
          <w:sz w:val="24"/>
          <w:szCs w:val="24"/>
          <w:lang w:val="en-US" w:eastAsia="pt-BR"/>
        </w:rPr>
        <w:t>T</w:t>
      </w:r>
      <w:r w:rsidR="00417929" w:rsidRPr="008210C1">
        <w:rPr>
          <w:rFonts w:ascii="Times New Roman" w:eastAsia="Times New Roman" w:hAnsi="Times New Roman" w:cs="Times New Roman"/>
          <w:sz w:val="24"/>
          <w:szCs w:val="24"/>
          <w:lang w:val="en-US" w:eastAsia="pt-BR"/>
        </w:rPr>
        <w:t>he</w:t>
      </w:r>
      <w:r w:rsidR="005B24E9" w:rsidRPr="008210C1">
        <w:rPr>
          <w:rFonts w:ascii="Times New Roman" w:eastAsia="Times New Roman" w:hAnsi="Times New Roman" w:cs="Times New Roman"/>
          <w:sz w:val="24"/>
          <w:szCs w:val="24"/>
          <w:lang w:val="en-US" w:eastAsia="pt-BR"/>
        </w:rPr>
        <w:t xml:space="preserve"> State’s long-term </w:t>
      </w:r>
      <w:r w:rsidR="00417929" w:rsidRPr="008210C1">
        <w:rPr>
          <w:rFonts w:ascii="Times New Roman" w:eastAsia="Times New Roman" w:hAnsi="Times New Roman" w:cs="Times New Roman"/>
          <w:sz w:val="24"/>
          <w:szCs w:val="24"/>
          <w:lang w:val="en-US" w:eastAsia="pt-BR"/>
        </w:rPr>
        <w:t xml:space="preserve">plan </w:t>
      </w:r>
      <w:r w:rsidR="005B24E9" w:rsidRPr="008210C1">
        <w:rPr>
          <w:rFonts w:ascii="Times New Roman" w:eastAsia="Times New Roman" w:hAnsi="Times New Roman" w:cs="Times New Roman"/>
          <w:sz w:val="24"/>
          <w:szCs w:val="24"/>
          <w:lang w:val="en-US" w:eastAsia="pt-BR"/>
        </w:rPr>
        <w:t>coordinat</w:t>
      </w:r>
      <w:r w:rsidR="00FA05C6" w:rsidRPr="008210C1">
        <w:rPr>
          <w:rFonts w:ascii="Times New Roman" w:eastAsia="Times New Roman" w:hAnsi="Times New Roman" w:cs="Times New Roman"/>
          <w:sz w:val="24"/>
          <w:szCs w:val="24"/>
          <w:lang w:val="en-US" w:eastAsia="pt-BR"/>
        </w:rPr>
        <w:t>es</w:t>
      </w:r>
      <w:r w:rsidR="005B24E9" w:rsidRPr="008210C1">
        <w:rPr>
          <w:rFonts w:ascii="Times New Roman" w:eastAsia="Times New Roman" w:hAnsi="Times New Roman" w:cs="Times New Roman"/>
          <w:sz w:val="24"/>
          <w:szCs w:val="24"/>
          <w:lang w:val="en-US" w:eastAsia="pt-BR"/>
        </w:rPr>
        <w:t xml:space="preserve"> </w:t>
      </w:r>
      <w:r w:rsidR="00D23B0F" w:rsidRPr="008210C1">
        <w:rPr>
          <w:rFonts w:ascii="Times New Roman" w:eastAsia="Times New Roman" w:hAnsi="Times New Roman" w:cs="Times New Roman"/>
          <w:sz w:val="24"/>
          <w:szCs w:val="24"/>
          <w:lang w:val="en-US" w:eastAsia="pt-BR"/>
        </w:rPr>
        <w:t xml:space="preserve">the agents’ </w:t>
      </w:r>
      <w:r w:rsidR="00DF288E" w:rsidRPr="008210C1">
        <w:rPr>
          <w:rFonts w:ascii="Times New Roman" w:eastAsia="Times New Roman" w:hAnsi="Times New Roman" w:cs="Times New Roman"/>
          <w:sz w:val="24"/>
          <w:szCs w:val="24"/>
          <w:lang w:val="en-US" w:eastAsia="pt-BR"/>
        </w:rPr>
        <w:t xml:space="preserve">conventions, </w:t>
      </w:r>
      <w:r w:rsidR="005B24E9" w:rsidRPr="008210C1">
        <w:rPr>
          <w:rFonts w:ascii="Times New Roman" w:eastAsia="Times New Roman" w:hAnsi="Times New Roman" w:cs="Times New Roman"/>
          <w:sz w:val="24"/>
          <w:szCs w:val="24"/>
          <w:lang w:val="en-US" w:eastAsia="pt-BR"/>
        </w:rPr>
        <w:t>as it is a long-</w:t>
      </w:r>
      <w:r w:rsidR="00991BCE" w:rsidRPr="008210C1">
        <w:rPr>
          <w:rFonts w:ascii="Times New Roman" w:eastAsia="Times New Roman" w:hAnsi="Times New Roman" w:cs="Times New Roman"/>
          <w:sz w:val="24"/>
          <w:szCs w:val="24"/>
          <w:lang w:val="en-US" w:eastAsia="pt-BR"/>
        </w:rPr>
        <w:t>run</w:t>
      </w:r>
      <w:r w:rsidR="005B24E9" w:rsidRPr="008210C1">
        <w:rPr>
          <w:rFonts w:ascii="Times New Roman" w:eastAsia="Times New Roman" w:hAnsi="Times New Roman" w:cs="Times New Roman"/>
          <w:sz w:val="24"/>
          <w:szCs w:val="24"/>
          <w:lang w:val="en-US" w:eastAsia="pt-BR"/>
        </w:rPr>
        <w:t xml:space="preserve"> commitment to </w:t>
      </w:r>
      <w:r w:rsidR="00991BCE" w:rsidRPr="008210C1">
        <w:rPr>
          <w:rFonts w:ascii="Times New Roman" w:eastAsia="Times New Roman" w:hAnsi="Times New Roman" w:cs="Times New Roman"/>
          <w:sz w:val="24"/>
          <w:szCs w:val="24"/>
          <w:lang w:val="en-US" w:eastAsia="pt-BR"/>
        </w:rPr>
        <w:t>accomplish and sustain</w:t>
      </w:r>
      <w:r w:rsidR="005B24E9" w:rsidRPr="008210C1">
        <w:rPr>
          <w:rFonts w:ascii="Times New Roman" w:eastAsia="Times New Roman" w:hAnsi="Times New Roman" w:cs="Times New Roman"/>
          <w:sz w:val="24"/>
          <w:szCs w:val="24"/>
          <w:lang w:val="en-US" w:eastAsia="pt-BR"/>
        </w:rPr>
        <w:t xml:space="preserve"> an adequate level of </w:t>
      </w:r>
      <w:r w:rsidR="00991BCE" w:rsidRPr="008210C1">
        <w:rPr>
          <w:rFonts w:ascii="Times New Roman" w:eastAsia="Times New Roman" w:hAnsi="Times New Roman" w:cs="Times New Roman"/>
          <w:sz w:val="24"/>
          <w:szCs w:val="24"/>
          <w:lang w:val="en-US" w:eastAsia="pt-BR"/>
        </w:rPr>
        <w:t>aggregate demand</w:t>
      </w:r>
      <w:r w:rsidR="00DF288E" w:rsidRPr="008210C1">
        <w:rPr>
          <w:rFonts w:ascii="Times New Roman" w:eastAsia="Times New Roman" w:hAnsi="Times New Roman" w:cs="Times New Roman"/>
          <w:sz w:val="24"/>
          <w:szCs w:val="24"/>
          <w:lang w:val="en-US" w:eastAsia="pt-BR"/>
        </w:rPr>
        <w:t xml:space="preserve">, </w:t>
      </w:r>
      <w:r w:rsidR="00417929" w:rsidRPr="008210C1">
        <w:rPr>
          <w:rFonts w:ascii="Times New Roman" w:eastAsia="Times New Roman" w:hAnsi="Times New Roman" w:cs="Times New Roman"/>
          <w:sz w:val="24"/>
          <w:szCs w:val="24"/>
          <w:lang w:val="en-US" w:eastAsia="pt-BR"/>
        </w:rPr>
        <w:t>showing</w:t>
      </w:r>
      <w:r w:rsidR="00DF288E" w:rsidRPr="008210C1">
        <w:rPr>
          <w:rFonts w:ascii="Times New Roman" w:eastAsia="Times New Roman" w:hAnsi="Times New Roman" w:cs="Times New Roman"/>
          <w:sz w:val="24"/>
          <w:szCs w:val="24"/>
          <w:lang w:val="en-US" w:eastAsia="pt-BR"/>
        </w:rPr>
        <w:t xml:space="preserve"> the “state’s readiness to compensate for reductions in private investments with its own expenditures” (Keynes, 1980a, p. 322)</w:t>
      </w:r>
      <w:r w:rsidR="005B24E9" w:rsidRPr="008210C1">
        <w:rPr>
          <w:rFonts w:ascii="Times New Roman" w:eastAsia="Times New Roman" w:hAnsi="Times New Roman" w:cs="Times New Roman"/>
          <w:sz w:val="24"/>
          <w:szCs w:val="24"/>
          <w:lang w:val="en-US" w:eastAsia="pt-BR"/>
        </w:rPr>
        <w:t xml:space="preserve">. </w:t>
      </w:r>
    </w:p>
    <w:p w:rsidR="001F3E0A" w:rsidRPr="008210C1" w:rsidRDefault="00417929" w:rsidP="008210C1">
      <w:pPr>
        <w:spacing w:after="0" w:line="240" w:lineRule="auto"/>
        <w:ind w:firstLine="708"/>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Accordingly</w:t>
      </w:r>
      <w:r w:rsidR="005B24E9" w:rsidRPr="008210C1">
        <w:rPr>
          <w:rFonts w:ascii="Times New Roman" w:eastAsia="Times New Roman" w:hAnsi="Times New Roman" w:cs="Times New Roman"/>
          <w:sz w:val="24"/>
          <w:szCs w:val="24"/>
          <w:lang w:val="en-US" w:eastAsia="pt-BR"/>
        </w:rPr>
        <w:t>, investment in infrastructure is</w:t>
      </w:r>
      <w:r w:rsidR="00383AF6" w:rsidRPr="008210C1">
        <w:rPr>
          <w:rFonts w:ascii="Times New Roman" w:eastAsia="Times New Roman" w:hAnsi="Times New Roman" w:cs="Times New Roman"/>
          <w:sz w:val="24"/>
          <w:szCs w:val="24"/>
          <w:lang w:val="en-US" w:eastAsia="pt-BR"/>
        </w:rPr>
        <w:t xml:space="preserve"> </w:t>
      </w:r>
      <w:r w:rsidR="005B24E9" w:rsidRPr="008210C1">
        <w:rPr>
          <w:rFonts w:ascii="Times New Roman" w:eastAsia="Times New Roman" w:hAnsi="Times New Roman" w:cs="Times New Roman"/>
          <w:sz w:val="24"/>
          <w:szCs w:val="24"/>
          <w:lang w:val="en-US" w:eastAsia="pt-BR"/>
        </w:rPr>
        <w:t xml:space="preserve">the most adequate for </w:t>
      </w:r>
      <w:r w:rsidR="00D23B0F" w:rsidRPr="008210C1">
        <w:rPr>
          <w:rFonts w:ascii="Times New Roman" w:eastAsia="Times New Roman" w:hAnsi="Times New Roman" w:cs="Times New Roman"/>
          <w:sz w:val="24"/>
          <w:szCs w:val="24"/>
          <w:lang w:val="en-US" w:eastAsia="pt-BR"/>
        </w:rPr>
        <w:t>the capital budget</w:t>
      </w:r>
      <w:r w:rsidR="005B24E9" w:rsidRPr="008210C1">
        <w:rPr>
          <w:rFonts w:ascii="Times New Roman" w:eastAsia="Times New Roman" w:hAnsi="Times New Roman" w:cs="Times New Roman"/>
          <w:sz w:val="24"/>
          <w:szCs w:val="24"/>
          <w:lang w:val="en-US" w:eastAsia="pt-BR"/>
        </w:rPr>
        <w:t xml:space="preserve">. </w:t>
      </w:r>
      <w:r w:rsidR="00383AF6" w:rsidRPr="008210C1">
        <w:rPr>
          <w:rFonts w:ascii="Times New Roman" w:eastAsia="Times New Roman" w:hAnsi="Times New Roman" w:cs="Times New Roman"/>
          <w:sz w:val="24"/>
          <w:szCs w:val="24"/>
          <w:lang w:val="en-US" w:eastAsia="pt-BR"/>
        </w:rPr>
        <w:t>Many</w:t>
      </w:r>
      <w:r w:rsidR="005B24E9" w:rsidRPr="008210C1">
        <w:rPr>
          <w:rFonts w:ascii="Times New Roman" w:eastAsia="Times New Roman" w:hAnsi="Times New Roman" w:cs="Times New Roman"/>
          <w:sz w:val="24"/>
          <w:szCs w:val="24"/>
          <w:lang w:val="en-US" w:eastAsia="pt-BR"/>
        </w:rPr>
        <w:t xml:space="preserve"> studies </w:t>
      </w:r>
      <w:r w:rsidR="00210B23" w:rsidRPr="008210C1">
        <w:rPr>
          <w:rFonts w:ascii="Times New Roman" w:eastAsia="Times New Roman" w:hAnsi="Times New Roman" w:cs="Times New Roman"/>
          <w:sz w:val="24"/>
          <w:szCs w:val="24"/>
          <w:lang w:val="en-US" w:eastAsia="pt-BR"/>
        </w:rPr>
        <w:t>highlight</w:t>
      </w:r>
      <w:r w:rsidR="00383AF6" w:rsidRPr="008210C1">
        <w:rPr>
          <w:rFonts w:ascii="Times New Roman" w:eastAsia="Times New Roman" w:hAnsi="Times New Roman" w:cs="Times New Roman"/>
          <w:sz w:val="24"/>
          <w:szCs w:val="24"/>
          <w:lang w:val="en-US" w:eastAsia="pt-BR"/>
        </w:rPr>
        <w:t xml:space="preserve"> features of this kind of investment, such as</w:t>
      </w:r>
      <w:r w:rsidR="005B24E9" w:rsidRPr="008210C1">
        <w:rPr>
          <w:rFonts w:ascii="Times New Roman" w:eastAsia="Times New Roman" w:hAnsi="Times New Roman" w:cs="Times New Roman"/>
          <w:sz w:val="24"/>
          <w:szCs w:val="24"/>
          <w:lang w:val="en-US" w:eastAsia="pt-BR"/>
        </w:rPr>
        <w:t xml:space="preserve"> </w:t>
      </w:r>
      <w:r w:rsidR="00383AF6" w:rsidRPr="008210C1">
        <w:rPr>
          <w:rFonts w:ascii="Times New Roman" w:eastAsia="Times New Roman" w:hAnsi="Times New Roman" w:cs="Times New Roman"/>
          <w:sz w:val="24"/>
          <w:szCs w:val="24"/>
          <w:lang w:val="en-US" w:eastAsia="pt-BR"/>
        </w:rPr>
        <w:t>its</w:t>
      </w:r>
      <w:r w:rsidR="005B24E9" w:rsidRPr="008210C1">
        <w:rPr>
          <w:rFonts w:ascii="Times New Roman" w:eastAsia="Times New Roman" w:hAnsi="Times New Roman" w:cs="Times New Roman"/>
          <w:sz w:val="24"/>
          <w:szCs w:val="24"/>
          <w:lang w:val="en-US" w:eastAsia="pt-BR"/>
        </w:rPr>
        <w:t xml:space="preserve"> long-term payback</w:t>
      </w:r>
      <w:r w:rsidR="00383AF6" w:rsidRPr="008210C1">
        <w:rPr>
          <w:rFonts w:ascii="Times New Roman" w:eastAsia="Times New Roman" w:hAnsi="Times New Roman" w:cs="Times New Roman"/>
          <w:sz w:val="24"/>
          <w:szCs w:val="24"/>
          <w:lang w:val="en-US" w:eastAsia="pt-BR"/>
        </w:rPr>
        <w:t xml:space="preserve">, its huge cost, </w:t>
      </w:r>
      <w:r w:rsidR="005B24E9" w:rsidRPr="008210C1">
        <w:rPr>
          <w:rFonts w:ascii="Times New Roman" w:eastAsia="Times New Roman" w:hAnsi="Times New Roman" w:cs="Times New Roman"/>
          <w:sz w:val="24"/>
          <w:szCs w:val="24"/>
          <w:lang w:val="en-US" w:eastAsia="pt-BR"/>
        </w:rPr>
        <w:t xml:space="preserve">its relevance for </w:t>
      </w:r>
      <w:r w:rsidR="00383AF6" w:rsidRPr="008210C1">
        <w:rPr>
          <w:rFonts w:ascii="Times New Roman" w:eastAsia="Times New Roman" w:hAnsi="Times New Roman" w:cs="Times New Roman"/>
          <w:sz w:val="24"/>
          <w:szCs w:val="24"/>
          <w:lang w:val="en-US" w:eastAsia="pt-BR"/>
        </w:rPr>
        <w:t xml:space="preserve">generating </w:t>
      </w:r>
      <w:r w:rsidR="005B24E9" w:rsidRPr="008210C1">
        <w:rPr>
          <w:rFonts w:ascii="Times New Roman" w:eastAsia="Times New Roman" w:hAnsi="Times New Roman" w:cs="Times New Roman"/>
          <w:sz w:val="24"/>
          <w:szCs w:val="24"/>
          <w:lang w:val="en-US" w:eastAsia="pt-BR"/>
        </w:rPr>
        <w:t>gains</w:t>
      </w:r>
      <w:r w:rsidR="00383AF6" w:rsidRPr="008210C1">
        <w:rPr>
          <w:rFonts w:ascii="Times New Roman" w:eastAsia="Times New Roman" w:hAnsi="Times New Roman" w:cs="Times New Roman"/>
          <w:sz w:val="24"/>
          <w:szCs w:val="24"/>
          <w:lang w:val="en-US" w:eastAsia="pt-BR"/>
        </w:rPr>
        <w:t xml:space="preserve"> on productivity</w:t>
      </w:r>
      <w:r w:rsidR="005B24E9"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xml:space="preserve">lower </w:t>
      </w:r>
      <w:r w:rsidR="005B24E9" w:rsidRPr="008210C1">
        <w:rPr>
          <w:rFonts w:ascii="Times New Roman" w:eastAsia="Times New Roman" w:hAnsi="Times New Roman" w:cs="Times New Roman"/>
          <w:sz w:val="24"/>
          <w:szCs w:val="24"/>
          <w:lang w:val="en-US" w:eastAsia="pt-BR"/>
        </w:rPr>
        <w:t xml:space="preserve">production costs </w:t>
      </w:r>
      <w:r w:rsidR="00383AF6" w:rsidRPr="008210C1">
        <w:rPr>
          <w:rFonts w:ascii="Times New Roman" w:eastAsia="Times New Roman" w:hAnsi="Times New Roman" w:cs="Times New Roman"/>
          <w:sz w:val="24"/>
          <w:szCs w:val="24"/>
          <w:lang w:val="en-US" w:eastAsia="pt-BR"/>
        </w:rPr>
        <w:t>and</w:t>
      </w:r>
      <w:r w:rsidR="00C375C6" w:rsidRPr="008210C1">
        <w:rPr>
          <w:rFonts w:ascii="Times New Roman" w:eastAsia="Times New Roman" w:hAnsi="Times New Roman" w:cs="Times New Roman"/>
          <w:sz w:val="24"/>
          <w:szCs w:val="24"/>
          <w:lang w:val="en-US" w:eastAsia="pt-BR"/>
        </w:rPr>
        <w:t xml:space="preserve"> </w:t>
      </w:r>
      <w:r w:rsidR="00234C8F" w:rsidRPr="008210C1">
        <w:rPr>
          <w:rFonts w:ascii="Times New Roman" w:eastAsia="Times New Roman" w:hAnsi="Times New Roman" w:cs="Times New Roman"/>
          <w:sz w:val="24"/>
          <w:szCs w:val="24"/>
          <w:lang w:val="en-US" w:eastAsia="pt-BR"/>
        </w:rPr>
        <w:t xml:space="preserve">better </w:t>
      </w:r>
      <w:r w:rsidR="000D711F" w:rsidRPr="008210C1">
        <w:rPr>
          <w:rFonts w:ascii="Times New Roman" w:eastAsia="Times New Roman" w:hAnsi="Times New Roman" w:cs="Times New Roman"/>
          <w:sz w:val="24"/>
          <w:szCs w:val="24"/>
          <w:lang w:val="en-US" w:eastAsia="pt-BR"/>
        </w:rPr>
        <w:t>profits</w:t>
      </w:r>
      <w:r w:rsidR="00210B23" w:rsidRPr="008210C1">
        <w:rPr>
          <w:rFonts w:ascii="Times New Roman" w:eastAsia="Times New Roman" w:hAnsi="Times New Roman" w:cs="Times New Roman"/>
          <w:sz w:val="24"/>
          <w:szCs w:val="24"/>
          <w:lang w:val="en-US" w:eastAsia="pt-BR"/>
        </w:rPr>
        <w:t xml:space="preserve"> </w:t>
      </w:r>
      <w:r w:rsidR="00210B23" w:rsidRPr="008210C1">
        <w:rPr>
          <w:rFonts w:ascii="Times New Roman" w:hAnsi="Times New Roman" w:cs="Times New Roman"/>
          <w:sz w:val="24"/>
          <w:szCs w:val="24"/>
          <w:lang w:val="en-US"/>
        </w:rPr>
        <w:t>(</w:t>
      </w:r>
      <w:proofErr w:type="spellStart"/>
      <w:r w:rsidR="00210B23" w:rsidRPr="008210C1">
        <w:rPr>
          <w:rFonts w:ascii="Times New Roman" w:hAnsi="Times New Roman" w:cs="Times New Roman"/>
          <w:sz w:val="24"/>
          <w:szCs w:val="24"/>
          <w:lang w:val="en-US"/>
        </w:rPr>
        <w:t>Aschauer</w:t>
      </w:r>
      <w:proofErr w:type="spellEnd"/>
      <w:r w:rsidR="00210B23" w:rsidRPr="008210C1">
        <w:rPr>
          <w:rFonts w:ascii="Times New Roman" w:hAnsi="Times New Roman" w:cs="Times New Roman"/>
          <w:sz w:val="24"/>
          <w:szCs w:val="24"/>
          <w:lang w:val="en-US"/>
        </w:rPr>
        <w:t>, 1989</w:t>
      </w:r>
      <w:r w:rsidR="00210B23" w:rsidRPr="008210C1">
        <w:rPr>
          <w:rFonts w:ascii="Times New Roman" w:eastAsia="Times New Roman" w:hAnsi="Times New Roman" w:cs="Times New Roman"/>
          <w:sz w:val="24"/>
          <w:szCs w:val="24"/>
          <w:lang w:val="en-US" w:eastAsia="pt-BR"/>
        </w:rPr>
        <w:t xml:space="preserve">; Calderón </w:t>
      </w:r>
      <w:r w:rsidR="00234C8F" w:rsidRPr="008210C1">
        <w:rPr>
          <w:rFonts w:ascii="Times New Roman" w:eastAsia="Times New Roman" w:hAnsi="Times New Roman" w:cs="Times New Roman"/>
          <w:sz w:val="24"/>
          <w:szCs w:val="24"/>
          <w:lang w:val="en-US" w:eastAsia="pt-BR"/>
        </w:rPr>
        <w:t xml:space="preserve">and </w:t>
      </w:r>
      <w:proofErr w:type="spellStart"/>
      <w:r w:rsidR="00210B23" w:rsidRPr="008210C1">
        <w:rPr>
          <w:rFonts w:ascii="Times New Roman" w:eastAsia="Times New Roman" w:hAnsi="Times New Roman" w:cs="Times New Roman"/>
          <w:sz w:val="24"/>
          <w:szCs w:val="24"/>
          <w:lang w:val="en-US" w:eastAsia="pt-BR"/>
        </w:rPr>
        <w:t>Sérven</w:t>
      </w:r>
      <w:proofErr w:type="spellEnd"/>
      <w:r w:rsidR="00210B23" w:rsidRPr="008210C1">
        <w:rPr>
          <w:rFonts w:ascii="Times New Roman" w:eastAsia="Times New Roman" w:hAnsi="Times New Roman" w:cs="Times New Roman"/>
          <w:sz w:val="24"/>
          <w:szCs w:val="24"/>
          <w:lang w:val="en-US" w:eastAsia="pt-BR"/>
        </w:rPr>
        <w:t>, 2004;</w:t>
      </w:r>
      <w:r w:rsidR="00210B23" w:rsidRPr="008210C1">
        <w:rPr>
          <w:rFonts w:ascii="Times New Roman" w:hAnsi="Times New Roman" w:cs="Times New Roman"/>
          <w:sz w:val="24"/>
          <w:szCs w:val="24"/>
          <w:lang w:val="en-US"/>
        </w:rPr>
        <w:t>)</w:t>
      </w:r>
      <w:r w:rsidR="005B24E9" w:rsidRPr="008210C1">
        <w:rPr>
          <w:rFonts w:ascii="Times New Roman" w:eastAsia="Times New Roman" w:hAnsi="Times New Roman" w:cs="Times New Roman"/>
          <w:sz w:val="24"/>
          <w:szCs w:val="24"/>
          <w:lang w:val="en-US" w:eastAsia="pt-BR"/>
        </w:rPr>
        <w:t>,</w:t>
      </w:r>
      <w:r w:rsidR="00210B23" w:rsidRPr="008210C1">
        <w:rPr>
          <w:rFonts w:ascii="Times New Roman" w:hAnsi="Times New Roman" w:cs="Times New Roman"/>
          <w:sz w:val="24"/>
          <w:szCs w:val="24"/>
          <w:lang w:val="en-GB"/>
        </w:rPr>
        <w:t xml:space="preserve"> </w:t>
      </w:r>
      <w:r w:rsidR="00DA32F0" w:rsidRPr="008210C1">
        <w:rPr>
          <w:rFonts w:ascii="Times New Roman" w:hAnsi="Times New Roman" w:cs="Times New Roman"/>
          <w:sz w:val="24"/>
          <w:szCs w:val="24"/>
          <w:lang w:val="en-GB"/>
        </w:rPr>
        <w:t>as well as its</w:t>
      </w:r>
      <w:r w:rsidR="00383AF6" w:rsidRPr="008210C1">
        <w:rPr>
          <w:rFonts w:ascii="Times New Roman" w:hAnsi="Times New Roman" w:cs="Times New Roman"/>
          <w:sz w:val="24"/>
          <w:szCs w:val="24"/>
          <w:lang w:val="en-GB"/>
        </w:rPr>
        <w:t xml:space="preserve"> </w:t>
      </w:r>
      <w:r w:rsidR="00210B23" w:rsidRPr="008210C1">
        <w:rPr>
          <w:rFonts w:ascii="Times New Roman" w:hAnsi="Times New Roman" w:cs="Times New Roman"/>
          <w:sz w:val="24"/>
          <w:szCs w:val="24"/>
          <w:lang w:val="en-GB"/>
        </w:rPr>
        <w:t>improvement</w:t>
      </w:r>
      <w:r w:rsidR="00B429D6" w:rsidRPr="008210C1">
        <w:rPr>
          <w:rFonts w:ascii="Times New Roman" w:hAnsi="Times New Roman" w:cs="Times New Roman"/>
          <w:sz w:val="24"/>
          <w:szCs w:val="24"/>
          <w:lang w:val="en-GB"/>
        </w:rPr>
        <w:t>s to</w:t>
      </w:r>
      <w:r w:rsidR="00210B23" w:rsidRPr="008210C1">
        <w:rPr>
          <w:rFonts w:ascii="Times New Roman" w:hAnsi="Times New Roman" w:cs="Times New Roman"/>
          <w:sz w:val="24"/>
          <w:szCs w:val="24"/>
          <w:lang w:val="en-GB"/>
        </w:rPr>
        <w:t xml:space="preserve"> the income share and poverty reduction </w:t>
      </w:r>
      <w:r w:rsidR="00210B23" w:rsidRPr="008210C1">
        <w:rPr>
          <w:rFonts w:ascii="Times New Roman" w:hAnsi="Times New Roman" w:cs="Times New Roman"/>
          <w:sz w:val="24"/>
          <w:szCs w:val="24"/>
          <w:lang w:val="en-US"/>
        </w:rPr>
        <w:t>(</w:t>
      </w:r>
      <w:proofErr w:type="spellStart"/>
      <w:r w:rsidR="00210B23" w:rsidRPr="008210C1">
        <w:rPr>
          <w:rFonts w:ascii="Times New Roman" w:eastAsia="Times New Roman" w:hAnsi="Times New Roman" w:cs="Times New Roman"/>
          <w:sz w:val="24"/>
          <w:szCs w:val="24"/>
          <w:lang w:val="en-US" w:eastAsia="pt-BR"/>
        </w:rPr>
        <w:t>Rozas</w:t>
      </w:r>
      <w:proofErr w:type="spellEnd"/>
      <w:r w:rsidR="00210B23" w:rsidRPr="008210C1">
        <w:rPr>
          <w:rFonts w:ascii="Times New Roman" w:eastAsia="Times New Roman" w:hAnsi="Times New Roman" w:cs="Times New Roman"/>
          <w:sz w:val="24"/>
          <w:szCs w:val="24"/>
          <w:lang w:val="en-US" w:eastAsia="pt-BR"/>
        </w:rPr>
        <w:t xml:space="preserve"> </w:t>
      </w:r>
      <w:r w:rsidR="003C4812" w:rsidRPr="008210C1">
        <w:rPr>
          <w:rFonts w:ascii="Times New Roman" w:eastAsia="Times New Roman" w:hAnsi="Times New Roman" w:cs="Times New Roman"/>
          <w:sz w:val="24"/>
          <w:szCs w:val="24"/>
          <w:lang w:val="en-US" w:eastAsia="pt-BR"/>
        </w:rPr>
        <w:t xml:space="preserve">and </w:t>
      </w:r>
      <w:proofErr w:type="spellStart"/>
      <w:r w:rsidR="00210B23" w:rsidRPr="008210C1">
        <w:rPr>
          <w:rFonts w:ascii="Times New Roman" w:eastAsia="Times New Roman" w:hAnsi="Times New Roman" w:cs="Times New Roman"/>
          <w:sz w:val="24"/>
          <w:szCs w:val="24"/>
          <w:lang w:val="en-US" w:eastAsia="pt-BR"/>
        </w:rPr>
        <w:t>Sánches</w:t>
      </w:r>
      <w:proofErr w:type="spellEnd"/>
      <w:r w:rsidR="00210B23" w:rsidRPr="008210C1">
        <w:rPr>
          <w:rFonts w:ascii="Times New Roman" w:eastAsia="Times New Roman" w:hAnsi="Times New Roman" w:cs="Times New Roman"/>
          <w:sz w:val="24"/>
          <w:szCs w:val="24"/>
          <w:lang w:val="en-US" w:eastAsia="pt-BR"/>
        </w:rPr>
        <w:t xml:space="preserve">, 2004; Calderón </w:t>
      </w:r>
      <w:r w:rsidR="003C4812" w:rsidRPr="008210C1">
        <w:rPr>
          <w:rFonts w:ascii="Times New Roman" w:eastAsia="Times New Roman" w:hAnsi="Times New Roman" w:cs="Times New Roman"/>
          <w:sz w:val="24"/>
          <w:szCs w:val="24"/>
          <w:lang w:val="en-US" w:eastAsia="pt-BR"/>
        </w:rPr>
        <w:t xml:space="preserve">and </w:t>
      </w:r>
      <w:proofErr w:type="spellStart"/>
      <w:r w:rsidR="00210B23" w:rsidRPr="008210C1">
        <w:rPr>
          <w:rFonts w:ascii="Times New Roman" w:eastAsia="Times New Roman" w:hAnsi="Times New Roman" w:cs="Times New Roman"/>
          <w:sz w:val="24"/>
          <w:szCs w:val="24"/>
          <w:lang w:val="en-US" w:eastAsia="pt-BR"/>
        </w:rPr>
        <w:t>Sérven</w:t>
      </w:r>
      <w:proofErr w:type="spellEnd"/>
      <w:r w:rsidR="00210B23" w:rsidRPr="008210C1">
        <w:rPr>
          <w:rFonts w:ascii="Times New Roman" w:eastAsia="Times New Roman" w:hAnsi="Times New Roman" w:cs="Times New Roman"/>
          <w:sz w:val="24"/>
          <w:szCs w:val="24"/>
          <w:lang w:val="en-US" w:eastAsia="pt-BR"/>
        </w:rPr>
        <w:t>, 2002</w:t>
      </w:r>
      <w:r w:rsidR="00210B23" w:rsidRPr="008210C1">
        <w:rPr>
          <w:rFonts w:ascii="Times New Roman" w:hAnsi="Times New Roman" w:cs="Times New Roman"/>
          <w:sz w:val="24"/>
          <w:szCs w:val="24"/>
          <w:lang w:val="en-US"/>
        </w:rPr>
        <w:t>)</w:t>
      </w:r>
      <w:r w:rsidR="005B24E9" w:rsidRPr="008210C1">
        <w:rPr>
          <w:rFonts w:ascii="Times New Roman" w:eastAsia="Times New Roman" w:hAnsi="Times New Roman" w:cs="Times New Roman"/>
          <w:sz w:val="24"/>
          <w:szCs w:val="24"/>
          <w:lang w:val="en-US" w:eastAsia="pt-BR"/>
        </w:rPr>
        <w:t>.</w:t>
      </w:r>
      <w:r w:rsidR="000D711F" w:rsidRPr="008210C1">
        <w:rPr>
          <w:rFonts w:ascii="Times New Roman" w:eastAsia="Times New Roman" w:hAnsi="Times New Roman" w:cs="Times New Roman"/>
          <w:sz w:val="24"/>
          <w:szCs w:val="24"/>
          <w:lang w:val="en-US" w:eastAsia="pt-BR"/>
        </w:rPr>
        <w:t xml:space="preserve"> </w:t>
      </w:r>
      <w:r w:rsidR="005B24E9" w:rsidRPr="008210C1">
        <w:rPr>
          <w:rFonts w:ascii="Times New Roman" w:eastAsia="Times New Roman" w:hAnsi="Times New Roman" w:cs="Times New Roman"/>
          <w:sz w:val="24"/>
          <w:szCs w:val="24"/>
          <w:lang w:val="en-US" w:eastAsia="pt-BR"/>
        </w:rPr>
        <w:t>Thus, infrastructure investment has a dual character</w:t>
      </w:r>
      <w:r w:rsidR="00DA32F0" w:rsidRPr="008210C1">
        <w:rPr>
          <w:rFonts w:ascii="Times New Roman" w:eastAsia="Times New Roman" w:hAnsi="Times New Roman" w:cs="Times New Roman"/>
          <w:sz w:val="24"/>
          <w:szCs w:val="24"/>
          <w:lang w:val="en-US" w:eastAsia="pt-BR"/>
        </w:rPr>
        <w:t xml:space="preserve"> as </w:t>
      </w:r>
      <w:r w:rsidR="005B24E9" w:rsidRPr="008210C1">
        <w:rPr>
          <w:rFonts w:ascii="Times New Roman" w:eastAsia="Times New Roman" w:hAnsi="Times New Roman" w:cs="Times New Roman"/>
          <w:sz w:val="24"/>
          <w:szCs w:val="24"/>
          <w:lang w:val="en-US" w:eastAsia="pt-BR"/>
        </w:rPr>
        <w:t xml:space="preserve">it has a long-term </w:t>
      </w:r>
      <w:r w:rsidR="00F73EF4" w:rsidRPr="008210C1">
        <w:rPr>
          <w:rFonts w:ascii="Times New Roman" w:eastAsia="Times New Roman" w:hAnsi="Times New Roman" w:cs="Times New Roman"/>
          <w:sz w:val="24"/>
          <w:szCs w:val="24"/>
          <w:lang w:val="en-US" w:eastAsia="pt-BR"/>
        </w:rPr>
        <w:t>payback</w:t>
      </w:r>
      <w:r w:rsidR="005B24E9" w:rsidRPr="008210C1">
        <w:rPr>
          <w:rFonts w:ascii="Times New Roman" w:eastAsia="Times New Roman" w:hAnsi="Times New Roman" w:cs="Times New Roman"/>
          <w:sz w:val="24"/>
          <w:szCs w:val="24"/>
          <w:lang w:val="en-US" w:eastAsia="pt-BR"/>
        </w:rPr>
        <w:t xml:space="preserve"> and high costs to private firms </w:t>
      </w:r>
      <w:r w:rsidR="003C4812" w:rsidRPr="008210C1">
        <w:rPr>
          <w:rFonts w:ascii="Times New Roman" w:eastAsia="Times New Roman" w:hAnsi="Times New Roman" w:cs="Times New Roman"/>
          <w:sz w:val="24"/>
          <w:szCs w:val="24"/>
          <w:lang w:val="en-US" w:eastAsia="pt-BR"/>
        </w:rPr>
        <w:t xml:space="preserve">that </w:t>
      </w:r>
      <w:r w:rsidR="00882D11" w:rsidRPr="008210C1">
        <w:rPr>
          <w:rFonts w:ascii="Times New Roman" w:eastAsia="Times New Roman" w:hAnsi="Times New Roman" w:cs="Times New Roman"/>
          <w:sz w:val="24"/>
          <w:szCs w:val="24"/>
          <w:lang w:val="en-US" w:eastAsia="pt-BR"/>
        </w:rPr>
        <w:t>make</w:t>
      </w:r>
      <w:r w:rsidR="00204CCC" w:rsidRPr="008210C1">
        <w:rPr>
          <w:rFonts w:ascii="Times New Roman" w:eastAsia="Times New Roman" w:hAnsi="Times New Roman" w:cs="Times New Roman"/>
          <w:sz w:val="24"/>
          <w:szCs w:val="24"/>
          <w:lang w:val="en-US" w:eastAsia="pt-BR"/>
        </w:rPr>
        <w:t xml:space="preserve"> </w:t>
      </w:r>
      <w:r w:rsidR="003C4812" w:rsidRPr="008210C1">
        <w:rPr>
          <w:rFonts w:ascii="Times New Roman" w:eastAsia="Times New Roman" w:hAnsi="Times New Roman" w:cs="Times New Roman"/>
          <w:sz w:val="24"/>
          <w:szCs w:val="24"/>
          <w:lang w:val="en-US" w:eastAsia="pt-BR"/>
        </w:rPr>
        <w:t>them</w:t>
      </w:r>
      <w:r w:rsidR="00DA32F0" w:rsidRPr="008210C1">
        <w:rPr>
          <w:rFonts w:ascii="Times New Roman" w:eastAsia="Times New Roman" w:hAnsi="Times New Roman" w:cs="Times New Roman"/>
          <w:sz w:val="24"/>
          <w:szCs w:val="24"/>
          <w:lang w:val="en-US" w:eastAsia="pt-BR"/>
        </w:rPr>
        <w:t>, however</w:t>
      </w:r>
      <w:r w:rsidR="00204CCC" w:rsidRPr="008210C1">
        <w:rPr>
          <w:rFonts w:ascii="Times New Roman" w:eastAsia="Times New Roman" w:hAnsi="Times New Roman" w:cs="Times New Roman"/>
          <w:sz w:val="24"/>
          <w:szCs w:val="24"/>
          <w:lang w:val="en-US" w:eastAsia="pt-BR"/>
        </w:rPr>
        <w:t xml:space="preserve"> </w:t>
      </w:r>
      <w:r w:rsidR="005B24E9" w:rsidRPr="008210C1">
        <w:rPr>
          <w:rFonts w:ascii="Times New Roman" w:eastAsia="Times New Roman" w:hAnsi="Times New Roman" w:cs="Times New Roman"/>
          <w:sz w:val="24"/>
          <w:szCs w:val="24"/>
          <w:lang w:val="en-US" w:eastAsia="pt-BR"/>
        </w:rPr>
        <w:t>it provide</w:t>
      </w:r>
      <w:r w:rsidR="00882D11" w:rsidRPr="008210C1">
        <w:rPr>
          <w:rFonts w:ascii="Times New Roman" w:eastAsia="Times New Roman" w:hAnsi="Times New Roman" w:cs="Times New Roman"/>
          <w:sz w:val="24"/>
          <w:szCs w:val="24"/>
          <w:lang w:val="en-US" w:eastAsia="pt-BR"/>
        </w:rPr>
        <w:t>s</w:t>
      </w:r>
      <w:r w:rsidR="005B24E9" w:rsidRPr="008210C1">
        <w:rPr>
          <w:rFonts w:ascii="Times New Roman" w:eastAsia="Times New Roman" w:hAnsi="Times New Roman" w:cs="Times New Roman"/>
          <w:sz w:val="24"/>
          <w:szCs w:val="24"/>
          <w:lang w:val="en-US" w:eastAsia="pt-BR"/>
        </w:rPr>
        <w:t xml:space="preserve"> </w:t>
      </w:r>
      <w:r w:rsidR="00F73EF4" w:rsidRPr="008210C1">
        <w:rPr>
          <w:rFonts w:ascii="Times New Roman" w:eastAsia="Times New Roman" w:hAnsi="Times New Roman" w:cs="Times New Roman"/>
          <w:sz w:val="24"/>
          <w:szCs w:val="24"/>
          <w:lang w:val="en-US" w:eastAsia="pt-BR"/>
        </w:rPr>
        <w:t xml:space="preserve">several </w:t>
      </w:r>
      <w:r w:rsidR="00882D11" w:rsidRPr="008210C1">
        <w:rPr>
          <w:rFonts w:ascii="Times New Roman" w:eastAsia="Times New Roman" w:hAnsi="Times New Roman" w:cs="Times New Roman"/>
          <w:sz w:val="24"/>
          <w:szCs w:val="24"/>
          <w:lang w:val="en-US" w:eastAsia="pt-BR"/>
        </w:rPr>
        <w:t xml:space="preserve">essential </w:t>
      </w:r>
      <w:r w:rsidR="00F73EF4" w:rsidRPr="008210C1">
        <w:rPr>
          <w:rFonts w:ascii="Times New Roman" w:eastAsia="Times New Roman" w:hAnsi="Times New Roman" w:cs="Times New Roman"/>
          <w:sz w:val="24"/>
          <w:szCs w:val="24"/>
          <w:lang w:val="en-US" w:eastAsia="pt-BR"/>
        </w:rPr>
        <w:t>elements</w:t>
      </w:r>
      <w:r w:rsidR="005B24E9" w:rsidRPr="008210C1">
        <w:rPr>
          <w:rFonts w:ascii="Times New Roman" w:eastAsia="Times New Roman" w:hAnsi="Times New Roman" w:cs="Times New Roman"/>
          <w:sz w:val="24"/>
          <w:szCs w:val="24"/>
          <w:lang w:val="en-US" w:eastAsia="pt-BR"/>
        </w:rPr>
        <w:t xml:space="preserve"> for improving firms</w:t>
      </w:r>
      <w:r w:rsidR="00F73EF4" w:rsidRPr="008210C1">
        <w:rPr>
          <w:rFonts w:ascii="Times New Roman" w:eastAsia="Times New Roman" w:hAnsi="Times New Roman" w:cs="Times New Roman"/>
          <w:sz w:val="24"/>
          <w:szCs w:val="24"/>
          <w:lang w:val="en-US" w:eastAsia="pt-BR"/>
        </w:rPr>
        <w:t>’</w:t>
      </w:r>
      <w:r w:rsidR="005B24E9" w:rsidRPr="008210C1">
        <w:rPr>
          <w:rFonts w:ascii="Times New Roman" w:eastAsia="Times New Roman" w:hAnsi="Times New Roman" w:cs="Times New Roman"/>
          <w:sz w:val="24"/>
          <w:szCs w:val="24"/>
          <w:lang w:val="en-US" w:eastAsia="pt-BR"/>
        </w:rPr>
        <w:t xml:space="preserve"> profits. </w:t>
      </w:r>
    </w:p>
    <w:p w:rsidR="00204CCC" w:rsidRPr="008210C1" w:rsidRDefault="00204CCC" w:rsidP="008210C1">
      <w:pPr>
        <w:spacing w:after="0" w:line="240" w:lineRule="auto"/>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ab/>
      </w:r>
      <w:r w:rsidR="00DF288E" w:rsidRPr="008210C1">
        <w:rPr>
          <w:rFonts w:ascii="Times New Roman" w:eastAsia="Times New Roman" w:hAnsi="Times New Roman" w:cs="Times New Roman"/>
          <w:sz w:val="24"/>
          <w:szCs w:val="24"/>
          <w:lang w:val="en-US" w:eastAsia="pt-BR"/>
        </w:rPr>
        <w:t xml:space="preserve"> </w:t>
      </w:r>
      <w:r w:rsidR="006E08FC" w:rsidRPr="008210C1">
        <w:rPr>
          <w:rFonts w:ascii="Times New Roman" w:eastAsia="Times New Roman" w:hAnsi="Times New Roman" w:cs="Times New Roman"/>
          <w:sz w:val="24"/>
          <w:szCs w:val="24"/>
          <w:lang w:val="en-US" w:eastAsia="pt-BR"/>
        </w:rPr>
        <w:t>There are</w:t>
      </w:r>
      <w:r w:rsidR="000227F2" w:rsidRPr="008210C1">
        <w:rPr>
          <w:rFonts w:ascii="Times New Roman" w:eastAsia="Times New Roman" w:hAnsi="Times New Roman" w:cs="Times New Roman"/>
          <w:sz w:val="24"/>
          <w:szCs w:val="24"/>
          <w:lang w:val="en-US" w:eastAsia="pt-BR"/>
        </w:rPr>
        <w:t xml:space="preserve"> two further aspects of the Post Keynesian </w:t>
      </w:r>
      <w:r w:rsidR="00B86B23" w:rsidRPr="008210C1">
        <w:rPr>
          <w:rFonts w:ascii="Times New Roman" w:eastAsia="Times New Roman" w:hAnsi="Times New Roman" w:cs="Times New Roman"/>
          <w:sz w:val="24"/>
          <w:szCs w:val="24"/>
          <w:lang w:val="en-US" w:eastAsia="pt-BR"/>
        </w:rPr>
        <w:t>FP</w:t>
      </w:r>
      <w:r w:rsidR="000227F2" w:rsidRPr="008210C1">
        <w:rPr>
          <w:rFonts w:ascii="Times New Roman" w:eastAsia="Times New Roman" w:hAnsi="Times New Roman" w:cs="Times New Roman"/>
          <w:sz w:val="24"/>
          <w:szCs w:val="24"/>
          <w:lang w:val="en-US" w:eastAsia="pt-BR"/>
        </w:rPr>
        <w:t xml:space="preserve">. The current budget </w:t>
      </w:r>
      <w:r w:rsidR="006E08FC" w:rsidRPr="008210C1">
        <w:rPr>
          <w:rFonts w:ascii="Times New Roman" w:eastAsia="Times New Roman" w:hAnsi="Times New Roman" w:cs="Times New Roman"/>
          <w:sz w:val="24"/>
          <w:szCs w:val="24"/>
          <w:lang w:val="en-US" w:eastAsia="pt-BR"/>
        </w:rPr>
        <w:t>embraces</w:t>
      </w:r>
      <w:r w:rsidR="000227F2" w:rsidRPr="008210C1">
        <w:rPr>
          <w:rFonts w:ascii="Times New Roman" w:eastAsia="Times New Roman" w:hAnsi="Times New Roman" w:cs="Times New Roman"/>
          <w:sz w:val="24"/>
          <w:szCs w:val="24"/>
          <w:lang w:val="en-US" w:eastAsia="pt-BR"/>
        </w:rPr>
        <w:t xml:space="preserve"> the public </w:t>
      </w:r>
      <w:r w:rsidR="006E08FC" w:rsidRPr="008210C1">
        <w:rPr>
          <w:rFonts w:ascii="Times New Roman" w:eastAsia="Times New Roman" w:hAnsi="Times New Roman" w:cs="Times New Roman"/>
          <w:sz w:val="24"/>
          <w:szCs w:val="24"/>
          <w:lang w:val="en-US" w:eastAsia="pt-BR"/>
        </w:rPr>
        <w:t>services the State furnishes</w:t>
      </w:r>
      <w:r w:rsidR="00DA32F0" w:rsidRPr="008210C1">
        <w:rPr>
          <w:rFonts w:ascii="Times New Roman" w:eastAsia="Times New Roman" w:hAnsi="Times New Roman" w:cs="Times New Roman"/>
          <w:sz w:val="24"/>
          <w:szCs w:val="24"/>
          <w:lang w:val="en-US" w:eastAsia="pt-BR"/>
        </w:rPr>
        <w:t xml:space="preserve"> and it </w:t>
      </w:r>
      <w:r w:rsidR="000227F2" w:rsidRPr="008210C1">
        <w:rPr>
          <w:rFonts w:ascii="Times New Roman" w:eastAsia="Times New Roman" w:hAnsi="Times New Roman" w:cs="Times New Roman"/>
          <w:sz w:val="24"/>
          <w:szCs w:val="24"/>
          <w:lang w:val="en-US" w:eastAsia="pt-BR"/>
        </w:rPr>
        <w:t>should be in surplus or in equilibrium all the time</w:t>
      </w:r>
      <w:r w:rsidR="00DA32F0" w:rsidRPr="008210C1">
        <w:rPr>
          <w:rFonts w:ascii="Times New Roman" w:eastAsia="Times New Roman" w:hAnsi="Times New Roman" w:cs="Times New Roman"/>
          <w:sz w:val="24"/>
          <w:szCs w:val="24"/>
          <w:lang w:val="en-US" w:eastAsia="pt-BR"/>
        </w:rPr>
        <w:t xml:space="preserve"> so that the</w:t>
      </w:r>
      <w:r w:rsidR="000227F2" w:rsidRPr="008210C1">
        <w:rPr>
          <w:rFonts w:ascii="Times New Roman" w:eastAsia="Times New Roman" w:hAnsi="Times New Roman" w:cs="Times New Roman"/>
          <w:sz w:val="24"/>
          <w:szCs w:val="24"/>
          <w:lang w:val="en-US" w:eastAsia="pt-BR"/>
        </w:rPr>
        <w:t xml:space="preserve"> </w:t>
      </w:r>
      <w:r w:rsidR="00DA32F0" w:rsidRPr="008210C1">
        <w:rPr>
          <w:rFonts w:ascii="Times New Roman" w:eastAsia="Times New Roman" w:hAnsi="Times New Roman" w:cs="Times New Roman"/>
          <w:sz w:val="24"/>
          <w:szCs w:val="24"/>
          <w:lang w:val="en-US" w:eastAsia="pt-BR"/>
        </w:rPr>
        <w:t>public</w:t>
      </w:r>
      <w:r w:rsidR="000227F2" w:rsidRPr="008210C1">
        <w:rPr>
          <w:rFonts w:ascii="Times New Roman" w:eastAsia="Times New Roman" w:hAnsi="Times New Roman" w:cs="Times New Roman"/>
          <w:sz w:val="24"/>
          <w:szCs w:val="24"/>
          <w:lang w:val="en-US" w:eastAsia="pt-BR"/>
        </w:rPr>
        <w:t xml:space="preserve"> budget</w:t>
      </w:r>
      <w:r w:rsidR="00447AD4" w:rsidRPr="008210C1">
        <w:rPr>
          <w:rFonts w:ascii="Times New Roman" w:eastAsia="Times New Roman" w:hAnsi="Times New Roman" w:cs="Times New Roman"/>
          <w:sz w:val="24"/>
          <w:szCs w:val="24"/>
          <w:lang w:val="en-US" w:eastAsia="pt-BR"/>
        </w:rPr>
        <w:t xml:space="preserve"> </w:t>
      </w:r>
      <w:r w:rsidR="000227F2" w:rsidRPr="008210C1">
        <w:rPr>
          <w:rFonts w:ascii="Times New Roman" w:eastAsia="Times New Roman" w:hAnsi="Times New Roman" w:cs="Times New Roman"/>
          <w:sz w:val="24"/>
          <w:szCs w:val="24"/>
          <w:lang w:val="en-US" w:eastAsia="pt-BR"/>
        </w:rPr>
        <w:t>reach</w:t>
      </w:r>
      <w:r w:rsidR="00DA32F0" w:rsidRPr="008210C1">
        <w:rPr>
          <w:rFonts w:ascii="Times New Roman" w:eastAsia="Times New Roman" w:hAnsi="Times New Roman" w:cs="Times New Roman"/>
          <w:sz w:val="24"/>
          <w:szCs w:val="24"/>
          <w:lang w:val="en-US" w:eastAsia="pt-BR"/>
        </w:rPr>
        <w:t>es</w:t>
      </w:r>
      <w:r w:rsidR="000227F2" w:rsidRPr="008210C1">
        <w:rPr>
          <w:rFonts w:ascii="Times New Roman" w:eastAsia="Times New Roman" w:hAnsi="Times New Roman" w:cs="Times New Roman"/>
          <w:sz w:val="24"/>
          <w:szCs w:val="24"/>
          <w:lang w:val="en-US" w:eastAsia="pt-BR"/>
        </w:rPr>
        <w:t xml:space="preserve"> intertemporal equilibrium. </w:t>
      </w:r>
      <w:r w:rsidRPr="008210C1">
        <w:rPr>
          <w:rFonts w:ascii="Times New Roman" w:eastAsia="Times New Roman" w:hAnsi="Times New Roman" w:cs="Times New Roman"/>
          <w:sz w:val="24"/>
          <w:szCs w:val="24"/>
          <w:lang w:val="en-US" w:eastAsia="pt-BR"/>
        </w:rPr>
        <w:t xml:space="preserve">Moreover, </w:t>
      </w:r>
      <w:r w:rsidR="00162D99" w:rsidRPr="008210C1">
        <w:rPr>
          <w:rFonts w:ascii="Times New Roman" w:eastAsia="Times New Roman" w:hAnsi="Times New Roman" w:cs="Times New Roman"/>
          <w:sz w:val="24"/>
          <w:szCs w:val="24"/>
          <w:lang w:val="en-US" w:eastAsia="pt-BR"/>
        </w:rPr>
        <w:t>FP</w:t>
      </w:r>
      <w:r w:rsidRPr="008210C1">
        <w:rPr>
          <w:rFonts w:ascii="Times New Roman" w:eastAsia="Times New Roman" w:hAnsi="Times New Roman" w:cs="Times New Roman"/>
          <w:sz w:val="24"/>
          <w:szCs w:val="24"/>
          <w:lang w:val="en-US" w:eastAsia="pt-BR"/>
        </w:rPr>
        <w:t xml:space="preserve"> is a tool to implement institutional reforms, particularly income ones through taxation and income</w:t>
      </w:r>
      <w:r w:rsidR="003C4812" w:rsidRPr="008210C1">
        <w:rPr>
          <w:rFonts w:ascii="Times New Roman" w:eastAsia="Times New Roman" w:hAnsi="Times New Roman" w:cs="Times New Roman"/>
          <w:sz w:val="24"/>
          <w:szCs w:val="24"/>
          <w:lang w:val="en-US" w:eastAsia="pt-BR"/>
        </w:rPr>
        <w:t>s</w:t>
      </w:r>
      <w:r w:rsidRPr="008210C1">
        <w:rPr>
          <w:rFonts w:ascii="Times New Roman" w:eastAsia="Times New Roman" w:hAnsi="Times New Roman" w:cs="Times New Roman"/>
          <w:sz w:val="24"/>
          <w:szCs w:val="24"/>
          <w:lang w:val="en-US" w:eastAsia="pt-BR"/>
        </w:rPr>
        <w:t xml:space="preserve"> policy</w:t>
      </w:r>
      <w:r w:rsidR="00A850B8" w:rsidRPr="008210C1">
        <w:rPr>
          <w:rFonts w:ascii="Times New Roman" w:eastAsia="Times New Roman" w:hAnsi="Times New Roman" w:cs="Times New Roman"/>
          <w:sz w:val="24"/>
          <w:szCs w:val="24"/>
          <w:lang w:val="en-US" w:eastAsia="pt-BR"/>
        </w:rPr>
        <w:t>, improving the</w:t>
      </w:r>
      <w:r w:rsidRPr="008210C1">
        <w:rPr>
          <w:rFonts w:ascii="Times New Roman" w:eastAsia="Times New Roman" w:hAnsi="Times New Roman" w:cs="Times New Roman"/>
          <w:sz w:val="24"/>
          <w:szCs w:val="24"/>
          <w:lang w:val="en-US" w:eastAsia="pt-BR"/>
        </w:rPr>
        <w:t xml:space="preserve"> </w:t>
      </w:r>
      <w:r w:rsidR="000227F2" w:rsidRPr="008210C1">
        <w:rPr>
          <w:rFonts w:ascii="Times New Roman" w:eastAsia="Times New Roman" w:hAnsi="Times New Roman" w:cs="Times New Roman"/>
          <w:sz w:val="24"/>
          <w:szCs w:val="24"/>
          <w:lang w:val="en-US" w:eastAsia="pt-BR"/>
        </w:rPr>
        <w:t xml:space="preserve">consumption </w:t>
      </w:r>
      <w:r w:rsidRPr="008210C1">
        <w:rPr>
          <w:rFonts w:ascii="Times New Roman" w:eastAsia="Times New Roman" w:hAnsi="Times New Roman" w:cs="Times New Roman"/>
          <w:sz w:val="24"/>
          <w:szCs w:val="24"/>
          <w:lang w:val="en-US" w:eastAsia="pt-BR"/>
        </w:rPr>
        <w:t>propensity and social stability</w:t>
      </w:r>
      <w:r w:rsidR="00E50786" w:rsidRPr="008210C1">
        <w:rPr>
          <w:rFonts w:ascii="Times New Roman" w:eastAsia="Times New Roman" w:hAnsi="Times New Roman" w:cs="Times New Roman"/>
          <w:sz w:val="24"/>
          <w:szCs w:val="24"/>
          <w:lang w:val="en-US" w:eastAsia="pt-BR"/>
        </w:rPr>
        <w:t>.</w:t>
      </w:r>
    </w:p>
    <w:p w:rsidR="00C0387A" w:rsidRPr="008210C1" w:rsidRDefault="00E50786" w:rsidP="008210C1">
      <w:pPr>
        <w:spacing w:after="0" w:line="240" w:lineRule="auto"/>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ab/>
        <w:t>In</w:t>
      </w:r>
      <w:r w:rsidR="00164DE6" w:rsidRPr="008210C1">
        <w:rPr>
          <w:rFonts w:ascii="Times New Roman" w:eastAsia="Times New Roman" w:hAnsi="Times New Roman" w:cs="Times New Roman"/>
          <w:sz w:val="24"/>
          <w:szCs w:val="24"/>
          <w:lang w:val="en-US" w:eastAsia="pt-BR"/>
        </w:rPr>
        <w:t xml:space="preserve"> terms of monetary policy</w:t>
      </w:r>
      <w:r w:rsidR="00B86B23" w:rsidRPr="008210C1">
        <w:rPr>
          <w:rFonts w:ascii="Times New Roman" w:eastAsia="Times New Roman" w:hAnsi="Times New Roman" w:cs="Times New Roman"/>
          <w:sz w:val="24"/>
          <w:szCs w:val="24"/>
          <w:lang w:val="en-US" w:eastAsia="pt-BR"/>
        </w:rPr>
        <w:t xml:space="preserve"> (MP)</w:t>
      </w:r>
      <w:r w:rsidR="00164DE6" w:rsidRPr="008210C1">
        <w:rPr>
          <w:rFonts w:ascii="Times New Roman" w:eastAsia="Times New Roman" w:hAnsi="Times New Roman" w:cs="Times New Roman"/>
          <w:sz w:val="24"/>
          <w:szCs w:val="24"/>
          <w:lang w:val="en-US" w:eastAsia="pt-BR"/>
        </w:rPr>
        <w:t xml:space="preserve">, </w:t>
      </w:r>
      <w:r w:rsidR="0040463D" w:rsidRPr="008210C1">
        <w:rPr>
          <w:rFonts w:ascii="Times New Roman" w:eastAsia="Times New Roman" w:hAnsi="Times New Roman" w:cs="Times New Roman"/>
          <w:sz w:val="24"/>
          <w:szCs w:val="24"/>
          <w:lang w:val="en-US" w:eastAsia="pt-BR"/>
        </w:rPr>
        <w:t>Keynes (1973</w:t>
      </w:r>
      <w:r w:rsidRPr="008210C1">
        <w:rPr>
          <w:rFonts w:ascii="Times New Roman" w:eastAsia="Times New Roman" w:hAnsi="Times New Roman" w:cs="Times New Roman"/>
          <w:sz w:val="24"/>
          <w:szCs w:val="24"/>
          <w:lang w:val="en-US" w:eastAsia="pt-BR"/>
        </w:rPr>
        <w:t xml:space="preserve">) saw </w:t>
      </w:r>
      <w:r w:rsidR="00164DE6" w:rsidRPr="008210C1">
        <w:rPr>
          <w:rFonts w:ascii="Times New Roman" w:eastAsia="Times New Roman" w:hAnsi="Times New Roman" w:cs="Times New Roman"/>
          <w:sz w:val="24"/>
          <w:szCs w:val="24"/>
          <w:lang w:val="en-US" w:eastAsia="pt-BR"/>
        </w:rPr>
        <w:t>it</w:t>
      </w:r>
      <w:r w:rsidRPr="008210C1">
        <w:rPr>
          <w:rFonts w:ascii="Times New Roman" w:eastAsia="Times New Roman" w:hAnsi="Times New Roman" w:cs="Times New Roman"/>
          <w:sz w:val="24"/>
          <w:szCs w:val="24"/>
          <w:lang w:val="en-US" w:eastAsia="pt-BR"/>
        </w:rPr>
        <w:t xml:space="preserve"> bearing a hard</w:t>
      </w:r>
      <w:r w:rsidR="00B54814" w:rsidRPr="008210C1">
        <w:rPr>
          <w:rFonts w:ascii="Times New Roman" w:eastAsia="Times New Roman" w:hAnsi="Times New Roman" w:cs="Times New Roman"/>
          <w:sz w:val="24"/>
          <w:szCs w:val="24"/>
          <w:lang w:val="en-US" w:eastAsia="pt-BR"/>
        </w:rPr>
        <w:t xml:space="preserve"> task – </w:t>
      </w:r>
      <w:r w:rsidRPr="008210C1">
        <w:rPr>
          <w:rFonts w:ascii="Times New Roman" w:eastAsia="Times New Roman" w:hAnsi="Times New Roman" w:cs="Times New Roman"/>
          <w:sz w:val="24"/>
          <w:szCs w:val="24"/>
          <w:lang w:val="en-US" w:eastAsia="pt-BR"/>
        </w:rPr>
        <w:t>to set a financial system yield curve</w:t>
      </w:r>
      <w:r w:rsidR="003C4812" w:rsidRPr="008210C1">
        <w:rPr>
          <w:rFonts w:ascii="Times New Roman" w:eastAsia="Times New Roman" w:hAnsi="Times New Roman" w:cs="Times New Roman"/>
          <w:sz w:val="24"/>
          <w:szCs w:val="24"/>
          <w:lang w:val="en-US" w:eastAsia="pt-BR"/>
        </w:rPr>
        <w:t>,</w:t>
      </w:r>
      <w:r w:rsidRPr="008210C1">
        <w:rPr>
          <w:rFonts w:ascii="Times New Roman" w:eastAsia="Times New Roman" w:hAnsi="Times New Roman" w:cs="Times New Roman"/>
          <w:sz w:val="24"/>
          <w:szCs w:val="24"/>
          <w:lang w:val="en-US" w:eastAsia="pt-BR"/>
        </w:rPr>
        <w:t xml:space="preserve"> which </w:t>
      </w:r>
      <w:r w:rsidR="00B54814" w:rsidRPr="008210C1">
        <w:rPr>
          <w:rFonts w:ascii="Times New Roman" w:eastAsia="Times New Roman" w:hAnsi="Times New Roman" w:cs="Times New Roman"/>
          <w:sz w:val="24"/>
          <w:szCs w:val="24"/>
          <w:lang w:val="en-US" w:eastAsia="pt-BR"/>
        </w:rPr>
        <w:t>is not</w:t>
      </w:r>
      <w:r w:rsidRPr="008210C1">
        <w:rPr>
          <w:rFonts w:ascii="Times New Roman" w:eastAsia="Times New Roman" w:hAnsi="Times New Roman" w:cs="Times New Roman"/>
          <w:sz w:val="24"/>
          <w:szCs w:val="24"/>
          <w:lang w:val="en-US" w:eastAsia="pt-BR"/>
        </w:rPr>
        <w:t xml:space="preserve"> an opportunity</w:t>
      </w:r>
      <w:r w:rsidR="00B54814" w:rsidRPr="008210C1">
        <w:rPr>
          <w:rFonts w:ascii="Times New Roman" w:eastAsia="Times New Roman" w:hAnsi="Times New Roman" w:cs="Times New Roman"/>
          <w:sz w:val="24"/>
          <w:szCs w:val="24"/>
          <w:lang w:val="en-US" w:eastAsia="pt-BR"/>
        </w:rPr>
        <w:t xml:space="preserve"> cost to productive investment. That </w:t>
      </w:r>
      <w:r w:rsidRPr="008210C1">
        <w:rPr>
          <w:rFonts w:ascii="Times New Roman" w:eastAsia="Times New Roman" w:hAnsi="Times New Roman" w:cs="Times New Roman"/>
          <w:sz w:val="24"/>
          <w:szCs w:val="24"/>
          <w:lang w:val="en-US" w:eastAsia="pt-BR"/>
        </w:rPr>
        <w:t>strongly depends on agents</w:t>
      </w:r>
      <w:r w:rsidR="00215750" w:rsidRPr="008210C1">
        <w:rPr>
          <w:rFonts w:ascii="Times New Roman" w:eastAsia="Times New Roman" w:hAnsi="Times New Roman" w:cs="Times New Roman"/>
          <w:sz w:val="24"/>
          <w:szCs w:val="24"/>
          <w:lang w:val="en-US" w:eastAsia="pt-BR"/>
        </w:rPr>
        <w:t>’</w:t>
      </w:r>
      <w:r w:rsidRPr="008210C1">
        <w:rPr>
          <w:rFonts w:ascii="Times New Roman" w:eastAsia="Times New Roman" w:hAnsi="Times New Roman" w:cs="Times New Roman"/>
          <w:sz w:val="24"/>
          <w:szCs w:val="24"/>
          <w:lang w:val="en-US" w:eastAsia="pt-BR"/>
        </w:rPr>
        <w:t xml:space="preserve"> </w:t>
      </w:r>
      <w:r w:rsidR="00215750" w:rsidRPr="008210C1">
        <w:rPr>
          <w:rFonts w:ascii="Times New Roman" w:eastAsia="Times New Roman" w:hAnsi="Times New Roman" w:cs="Times New Roman"/>
          <w:sz w:val="24"/>
          <w:szCs w:val="24"/>
          <w:lang w:val="en-US" w:eastAsia="pt-BR"/>
        </w:rPr>
        <w:t xml:space="preserve">response </w:t>
      </w:r>
      <w:r w:rsidRPr="008210C1">
        <w:rPr>
          <w:rFonts w:ascii="Times New Roman" w:eastAsia="Times New Roman" w:hAnsi="Times New Roman" w:cs="Times New Roman"/>
          <w:sz w:val="24"/>
          <w:szCs w:val="24"/>
          <w:lang w:val="en-US" w:eastAsia="pt-BR"/>
        </w:rPr>
        <w:t>to the Central Bank (CB)</w:t>
      </w:r>
      <w:r w:rsidR="00B54814" w:rsidRPr="008210C1">
        <w:rPr>
          <w:rFonts w:ascii="Times New Roman" w:eastAsia="Times New Roman" w:hAnsi="Times New Roman" w:cs="Times New Roman"/>
          <w:sz w:val="24"/>
          <w:szCs w:val="24"/>
          <w:lang w:val="en-US" w:eastAsia="pt-BR"/>
        </w:rPr>
        <w:t xml:space="preserve"> as its</w:t>
      </w:r>
      <w:r w:rsidR="00C0387A" w:rsidRPr="008210C1">
        <w:rPr>
          <w:rFonts w:ascii="Times New Roman" w:eastAsia="Times New Roman" w:hAnsi="Times New Roman" w:cs="Times New Roman"/>
          <w:sz w:val="24"/>
          <w:szCs w:val="24"/>
          <w:lang w:val="en-US" w:eastAsia="pt-BR"/>
        </w:rPr>
        <w:t xml:space="preserve"> interest rate</w:t>
      </w:r>
      <w:r w:rsidR="00BE7402" w:rsidRPr="008210C1">
        <w:rPr>
          <w:rFonts w:ascii="Times New Roman" w:eastAsia="Times New Roman" w:hAnsi="Times New Roman" w:cs="Times New Roman"/>
          <w:sz w:val="24"/>
          <w:szCs w:val="24"/>
          <w:lang w:val="en-US" w:eastAsia="pt-BR"/>
        </w:rPr>
        <w:t xml:space="preserve"> </w:t>
      </w:r>
      <w:r w:rsidR="00C0387A" w:rsidRPr="008210C1">
        <w:rPr>
          <w:rFonts w:ascii="Times New Roman" w:eastAsia="Times New Roman" w:hAnsi="Times New Roman" w:cs="Times New Roman"/>
          <w:sz w:val="24"/>
          <w:szCs w:val="24"/>
          <w:lang w:val="en-US" w:eastAsia="pt-BR"/>
        </w:rPr>
        <w:t xml:space="preserve">works </w:t>
      </w:r>
      <w:r w:rsidR="00215750" w:rsidRPr="008210C1">
        <w:rPr>
          <w:rFonts w:ascii="Times New Roman" w:eastAsia="Times New Roman" w:hAnsi="Times New Roman" w:cs="Times New Roman"/>
          <w:sz w:val="24"/>
          <w:szCs w:val="24"/>
          <w:lang w:val="en-US" w:eastAsia="pt-BR"/>
        </w:rPr>
        <w:t xml:space="preserve">on the </w:t>
      </w:r>
      <w:r w:rsidR="00C0387A" w:rsidRPr="008210C1">
        <w:rPr>
          <w:rFonts w:ascii="Times New Roman" w:eastAsia="Times New Roman" w:hAnsi="Times New Roman" w:cs="Times New Roman"/>
          <w:sz w:val="24"/>
          <w:szCs w:val="24"/>
          <w:lang w:val="en-US" w:eastAsia="pt-BR"/>
        </w:rPr>
        <w:t xml:space="preserve">agents’ speculative </w:t>
      </w:r>
      <w:r w:rsidR="00B54814" w:rsidRPr="008210C1">
        <w:rPr>
          <w:rFonts w:ascii="Times New Roman" w:eastAsia="Times New Roman" w:hAnsi="Times New Roman" w:cs="Times New Roman"/>
          <w:sz w:val="24"/>
          <w:szCs w:val="24"/>
          <w:lang w:val="en-US" w:eastAsia="pt-BR"/>
        </w:rPr>
        <w:lastRenderedPageBreak/>
        <w:t xml:space="preserve">money </w:t>
      </w:r>
      <w:r w:rsidR="00C0387A" w:rsidRPr="008210C1">
        <w:rPr>
          <w:rFonts w:ascii="Times New Roman" w:eastAsia="Times New Roman" w:hAnsi="Times New Roman" w:cs="Times New Roman"/>
          <w:sz w:val="24"/>
          <w:szCs w:val="24"/>
          <w:lang w:val="en-US" w:eastAsia="pt-BR"/>
        </w:rPr>
        <w:t xml:space="preserve">demand. In financial markets, agents </w:t>
      </w:r>
      <w:r w:rsidR="00517BF3" w:rsidRPr="008210C1">
        <w:rPr>
          <w:rFonts w:ascii="Times New Roman" w:eastAsia="Times New Roman" w:hAnsi="Times New Roman" w:cs="Times New Roman"/>
          <w:sz w:val="24"/>
          <w:szCs w:val="24"/>
          <w:lang w:val="en-US" w:eastAsia="pt-BR"/>
        </w:rPr>
        <w:t>bargain</w:t>
      </w:r>
      <w:r w:rsidR="00C0387A" w:rsidRPr="008210C1">
        <w:rPr>
          <w:rFonts w:ascii="Times New Roman" w:eastAsia="Times New Roman" w:hAnsi="Times New Roman" w:cs="Times New Roman"/>
          <w:sz w:val="24"/>
          <w:szCs w:val="24"/>
          <w:lang w:val="en-US" w:eastAsia="pt-BR"/>
        </w:rPr>
        <w:t xml:space="preserve"> assets to profit </w:t>
      </w:r>
      <w:r w:rsidR="002C1882" w:rsidRPr="008210C1">
        <w:rPr>
          <w:rFonts w:ascii="Times New Roman" w:eastAsia="Times New Roman" w:hAnsi="Times New Roman" w:cs="Times New Roman"/>
          <w:sz w:val="24"/>
          <w:szCs w:val="24"/>
          <w:lang w:val="en-US" w:eastAsia="pt-BR"/>
        </w:rPr>
        <w:t>through</w:t>
      </w:r>
      <w:r w:rsidR="00C0387A" w:rsidRPr="008210C1">
        <w:rPr>
          <w:rFonts w:ascii="Times New Roman" w:eastAsia="Times New Roman" w:hAnsi="Times New Roman" w:cs="Times New Roman"/>
          <w:sz w:val="24"/>
          <w:szCs w:val="24"/>
          <w:lang w:val="en-US" w:eastAsia="pt-BR"/>
        </w:rPr>
        <w:t xml:space="preserve"> the difference between the actual and future </w:t>
      </w:r>
      <w:r w:rsidR="002C1882" w:rsidRPr="008210C1">
        <w:rPr>
          <w:rFonts w:ascii="Times New Roman" w:eastAsia="Times New Roman" w:hAnsi="Times New Roman" w:cs="Times New Roman"/>
          <w:sz w:val="24"/>
          <w:szCs w:val="24"/>
          <w:lang w:val="en-US" w:eastAsia="pt-BR"/>
        </w:rPr>
        <w:t xml:space="preserve">interest </w:t>
      </w:r>
      <w:r w:rsidR="00C0387A" w:rsidRPr="008210C1">
        <w:rPr>
          <w:rFonts w:ascii="Times New Roman" w:eastAsia="Times New Roman" w:hAnsi="Times New Roman" w:cs="Times New Roman"/>
          <w:sz w:val="24"/>
          <w:szCs w:val="24"/>
          <w:lang w:val="en-US" w:eastAsia="pt-BR"/>
        </w:rPr>
        <w:t>rate</w:t>
      </w:r>
      <w:r w:rsidR="00215750" w:rsidRPr="008210C1">
        <w:rPr>
          <w:rFonts w:ascii="Times New Roman" w:eastAsia="Times New Roman" w:hAnsi="Times New Roman" w:cs="Times New Roman"/>
          <w:sz w:val="24"/>
          <w:szCs w:val="24"/>
          <w:lang w:val="en-US" w:eastAsia="pt-BR"/>
        </w:rPr>
        <w:t>s</w:t>
      </w:r>
      <w:r w:rsidR="00C0387A" w:rsidRPr="008210C1">
        <w:rPr>
          <w:rFonts w:ascii="Times New Roman" w:eastAsia="Times New Roman" w:hAnsi="Times New Roman" w:cs="Times New Roman"/>
          <w:sz w:val="24"/>
          <w:szCs w:val="24"/>
          <w:lang w:val="en-US" w:eastAsia="pt-BR"/>
        </w:rPr>
        <w:t xml:space="preserve">. </w:t>
      </w:r>
      <w:r w:rsidR="00215750" w:rsidRPr="008210C1">
        <w:rPr>
          <w:rFonts w:ascii="Times New Roman" w:eastAsia="Times New Roman" w:hAnsi="Times New Roman" w:cs="Times New Roman"/>
          <w:sz w:val="24"/>
          <w:szCs w:val="24"/>
          <w:lang w:val="en-US" w:eastAsia="pt-BR"/>
        </w:rPr>
        <w:t>They</w:t>
      </w:r>
      <w:r w:rsidR="00C0387A" w:rsidRPr="008210C1">
        <w:rPr>
          <w:rFonts w:ascii="Times New Roman" w:eastAsia="Times New Roman" w:hAnsi="Times New Roman" w:cs="Times New Roman"/>
          <w:sz w:val="24"/>
          <w:szCs w:val="24"/>
          <w:lang w:val="en-US" w:eastAsia="pt-BR"/>
        </w:rPr>
        <w:t xml:space="preserve"> first consider </w:t>
      </w:r>
      <w:r w:rsidR="00BE7402" w:rsidRPr="008210C1">
        <w:rPr>
          <w:rFonts w:ascii="Times New Roman" w:eastAsia="Times New Roman" w:hAnsi="Times New Roman" w:cs="Times New Roman"/>
          <w:sz w:val="24"/>
          <w:szCs w:val="24"/>
          <w:lang w:val="en-US" w:eastAsia="pt-BR"/>
        </w:rPr>
        <w:t>the CB rate</w:t>
      </w:r>
      <w:r w:rsidR="00C0387A" w:rsidRPr="008210C1">
        <w:rPr>
          <w:rFonts w:ascii="Times New Roman" w:eastAsia="Times New Roman" w:hAnsi="Times New Roman" w:cs="Times New Roman"/>
          <w:sz w:val="24"/>
          <w:szCs w:val="24"/>
          <w:lang w:val="en-US" w:eastAsia="pt-BR"/>
        </w:rPr>
        <w:t>, which is the basi</w:t>
      </w:r>
      <w:r w:rsidR="006D6C56" w:rsidRPr="008210C1">
        <w:rPr>
          <w:rFonts w:ascii="Times New Roman" w:eastAsia="Times New Roman" w:hAnsi="Times New Roman" w:cs="Times New Roman"/>
          <w:sz w:val="24"/>
          <w:szCs w:val="24"/>
          <w:lang w:val="en-US" w:eastAsia="pt-BR"/>
        </w:rPr>
        <w:t>c rate of return of the economy;</w:t>
      </w:r>
      <w:r w:rsidR="00C0387A" w:rsidRPr="008210C1">
        <w:rPr>
          <w:rFonts w:ascii="Times New Roman" w:eastAsia="Times New Roman" w:hAnsi="Times New Roman" w:cs="Times New Roman"/>
          <w:sz w:val="24"/>
          <w:szCs w:val="24"/>
          <w:lang w:val="en-US" w:eastAsia="pt-BR"/>
        </w:rPr>
        <w:t xml:space="preserve"> </w:t>
      </w:r>
      <w:r w:rsidR="006D6C56" w:rsidRPr="008210C1">
        <w:rPr>
          <w:rFonts w:ascii="Times New Roman" w:eastAsia="Times New Roman" w:hAnsi="Times New Roman" w:cs="Times New Roman"/>
          <w:sz w:val="24"/>
          <w:szCs w:val="24"/>
          <w:lang w:val="en-US" w:eastAsia="pt-BR"/>
        </w:rPr>
        <w:t>d</w:t>
      </w:r>
      <w:r w:rsidR="00C0387A" w:rsidRPr="008210C1">
        <w:rPr>
          <w:rFonts w:ascii="Times New Roman" w:eastAsia="Times New Roman" w:hAnsi="Times New Roman" w:cs="Times New Roman"/>
          <w:sz w:val="24"/>
          <w:szCs w:val="24"/>
          <w:lang w:val="en-US" w:eastAsia="pt-BR"/>
        </w:rPr>
        <w:t xml:space="preserve">epending on what they consider will happen to </w:t>
      </w:r>
      <w:r w:rsidR="002C1882" w:rsidRPr="008210C1">
        <w:rPr>
          <w:rFonts w:ascii="Times New Roman" w:eastAsia="Times New Roman" w:hAnsi="Times New Roman" w:cs="Times New Roman"/>
          <w:sz w:val="24"/>
          <w:szCs w:val="24"/>
          <w:lang w:val="en-US" w:eastAsia="pt-BR"/>
        </w:rPr>
        <w:t>it</w:t>
      </w:r>
      <w:r w:rsidR="00C0387A" w:rsidRPr="008210C1">
        <w:rPr>
          <w:rFonts w:ascii="Times New Roman" w:eastAsia="Times New Roman" w:hAnsi="Times New Roman" w:cs="Times New Roman"/>
          <w:sz w:val="24"/>
          <w:szCs w:val="24"/>
          <w:lang w:val="en-US" w:eastAsia="pt-BR"/>
        </w:rPr>
        <w:t xml:space="preserve">, </w:t>
      </w:r>
      <w:r w:rsidR="006D6C56" w:rsidRPr="008210C1">
        <w:rPr>
          <w:rFonts w:ascii="Times New Roman" w:eastAsia="Times New Roman" w:hAnsi="Times New Roman" w:cs="Times New Roman"/>
          <w:sz w:val="24"/>
          <w:szCs w:val="24"/>
          <w:lang w:val="en-US" w:eastAsia="pt-BR"/>
        </w:rPr>
        <w:t>they</w:t>
      </w:r>
      <w:r w:rsidR="00C0387A" w:rsidRPr="008210C1">
        <w:rPr>
          <w:rFonts w:ascii="Times New Roman" w:eastAsia="Times New Roman" w:hAnsi="Times New Roman" w:cs="Times New Roman"/>
          <w:sz w:val="24"/>
          <w:szCs w:val="24"/>
          <w:lang w:val="en-US" w:eastAsia="pt-BR"/>
        </w:rPr>
        <w:t xml:space="preserve"> negotiat</w:t>
      </w:r>
      <w:r w:rsidR="00215750" w:rsidRPr="008210C1">
        <w:rPr>
          <w:rFonts w:ascii="Times New Roman" w:eastAsia="Times New Roman" w:hAnsi="Times New Roman" w:cs="Times New Roman"/>
          <w:sz w:val="24"/>
          <w:szCs w:val="24"/>
          <w:lang w:val="en-US" w:eastAsia="pt-BR"/>
        </w:rPr>
        <w:t>e debt</w:t>
      </w:r>
      <w:r w:rsidR="00C0387A" w:rsidRPr="008210C1">
        <w:rPr>
          <w:rFonts w:ascii="Times New Roman" w:eastAsia="Times New Roman" w:hAnsi="Times New Roman" w:cs="Times New Roman"/>
          <w:sz w:val="24"/>
          <w:szCs w:val="24"/>
          <w:lang w:val="en-US" w:eastAsia="pt-BR"/>
        </w:rPr>
        <w:t>.</w:t>
      </w:r>
    </w:p>
    <w:p w:rsidR="00C34656" w:rsidRDefault="00FB4948" w:rsidP="008210C1">
      <w:pPr>
        <w:spacing w:after="0" w:line="240" w:lineRule="auto"/>
        <w:ind w:firstLine="708"/>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T</w:t>
      </w:r>
      <w:r w:rsidR="00C0387A" w:rsidRPr="008210C1">
        <w:rPr>
          <w:rFonts w:ascii="Times New Roman" w:eastAsia="Times New Roman" w:hAnsi="Times New Roman" w:cs="Times New Roman"/>
          <w:sz w:val="24"/>
          <w:szCs w:val="24"/>
          <w:lang w:val="en-US" w:eastAsia="pt-BR"/>
        </w:rPr>
        <w:t xml:space="preserve">he </w:t>
      </w:r>
      <w:r w:rsidR="002C1882" w:rsidRPr="008210C1">
        <w:rPr>
          <w:rFonts w:ascii="Times New Roman" w:eastAsia="Times New Roman" w:hAnsi="Times New Roman" w:cs="Times New Roman"/>
          <w:sz w:val="24"/>
          <w:szCs w:val="24"/>
          <w:lang w:val="en-US" w:eastAsia="pt-BR"/>
        </w:rPr>
        <w:t>CB</w:t>
      </w:r>
      <w:r w:rsidR="00C0387A" w:rsidRPr="008210C1">
        <w:rPr>
          <w:rFonts w:ascii="Times New Roman" w:eastAsia="Times New Roman" w:hAnsi="Times New Roman" w:cs="Times New Roman"/>
          <w:sz w:val="24"/>
          <w:szCs w:val="24"/>
          <w:lang w:val="en-US" w:eastAsia="pt-BR"/>
        </w:rPr>
        <w:t xml:space="preserve"> </w:t>
      </w:r>
      <w:r w:rsidR="00464943" w:rsidRPr="008210C1">
        <w:rPr>
          <w:rFonts w:ascii="Times New Roman" w:eastAsia="Times New Roman" w:hAnsi="Times New Roman" w:cs="Times New Roman"/>
          <w:sz w:val="24"/>
          <w:szCs w:val="24"/>
          <w:lang w:val="en-US" w:eastAsia="pt-BR"/>
        </w:rPr>
        <w:t>control</w:t>
      </w:r>
      <w:r w:rsidR="00772378" w:rsidRPr="008210C1">
        <w:rPr>
          <w:rFonts w:ascii="Times New Roman" w:eastAsia="Times New Roman" w:hAnsi="Times New Roman" w:cs="Times New Roman"/>
          <w:sz w:val="24"/>
          <w:szCs w:val="24"/>
          <w:lang w:val="en-US" w:eastAsia="pt-BR"/>
        </w:rPr>
        <w:t>s</w:t>
      </w:r>
      <w:r w:rsidR="00C0387A" w:rsidRPr="008210C1">
        <w:rPr>
          <w:rFonts w:ascii="Times New Roman" w:eastAsia="Times New Roman" w:hAnsi="Times New Roman" w:cs="Times New Roman"/>
          <w:sz w:val="24"/>
          <w:szCs w:val="24"/>
          <w:lang w:val="en-US" w:eastAsia="pt-BR"/>
        </w:rPr>
        <w:t xml:space="preserve"> its interest rate to </w:t>
      </w:r>
      <w:r w:rsidR="00464943" w:rsidRPr="008210C1">
        <w:rPr>
          <w:rFonts w:ascii="Times New Roman" w:eastAsia="Times New Roman" w:hAnsi="Times New Roman" w:cs="Times New Roman"/>
          <w:sz w:val="24"/>
          <w:szCs w:val="24"/>
          <w:lang w:val="en-US" w:eastAsia="pt-BR"/>
        </w:rPr>
        <w:t>impact</w:t>
      </w:r>
      <w:r w:rsidR="00C0387A" w:rsidRPr="008210C1">
        <w:rPr>
          <w:rFonts w:ascii="Times New Roman" w:eastAsia="Times New Roman" w:hAnsi="Times New Roman" w:cs="Times New Roman"/>
          <w:sz w:val="24"/>
          <w:szCs w:val="24"/>
          <w:lang w:val="en-US" w:eastAsia="pt-BR"/>
        </w:rPr>
        <w:t xml:space="preserve"> </w:t>
      </w:r>
      <w:r w:rsidR="00464943" w:rsidRPr="008210C1">
        <w:rPr>
          <w:rFonts w:ascii="Times New Roman" w:eastAsia="Times New Roman" w:hAnsi="Times New Roman" w:cs="Times New Roman"/>
          <w:sz w:val="24"/>
          <w:szCs w:val="24"/>
          <w:lang w:val="en-US" w:eastAsia="pt-BR"/>
        </w:rPr>
        <w:t>other</w:t>
      </w:r>
      <w:r w:rsidR="00C0387A" w:rsidRPr="008210C1">
        <w:rPr>
          <w:rFonts w:ascii="Times New Roman" w:eastAsia="Times New Roman" w:hAnsi="Times New Roman" w:cs="Times New Roman"/>
          <w:sz w:val="24"/>
          <w:szCs w:val="24"/>
          <w:lang w:val="en-US" w:eastAsia="pt-BR"/>
        </w:rPr>
        <w:t xml:space="preserve"> variables </w:t>
      </w:r>
      <w:r w:rsidR="00102D52" w:rsidRPr="008210C1">
        <w:rPr>
          <w:rFonts w:ascii="Times New Roman" w:eastAsia="Times New Roman" w:hAnsi="Times New Roman" w:cs="Times New Roman"/>
          <w:sz w:val="24"/>
          <w:szCs w:val="24"/>
          <w:lang w:val="en-US" w:eastAsia="pt-BR"/>
        </w:rPr>
        <w:t xml:space="preserve">such as </w:t>
      </w:r>
      <w:r w:rsidR="00C0387A" w:rsidRPr="008210C1">
        <w:rPr>
          <w:rFonts w:ascii="Times New Roman" w:eastAsia="Times New Roman" w:hAnsi="Times New Roman" w:cs="Times New Roman"/>
          <w:sz w:val="24"/>
          <w:szCs w:val="24"/>
          <w:lang w:val="en-US" w:eastAsia="pt-BR"/>
        </w:rPr>
        <w:t>price, exchange rate, expectations</w:t>
      </w:r>
      <w:r w:rsidR="00464943" w:rsidRPr="008210C1">
        <w:rPr>
          <w:rFonts w:ascii="Times New Roman" w:eastAsia="Times New Roman" w:hAnsi="Times New Roman" w:cs="Times New Roman"/>
          <w:sz w:val="24"/>
          <w:szCs w:val="24"/>
          <w:lang w:val="en-US" w:eastAsia="pt-BR"/>
        </w:rPr>
        <w:t>. Yet,</w:t>
      </w:r>
      <w:r w:rsidR="00C0387A" w:rsidRPr="008210C1">
        <w:rPr>
          <w:rFonts w:ascii="Times New Roman" w:eastAsia="Times New Roman" w:hAnsi="Times New Roman" w:cs="Times New Roman"/>
          <w:sz w:val="24"/>
          <w:szCs w:val="24"/>
          <w:lang w:val="en-US" w:eastAsia="pt-BR"/>
        </w:rPr>
        <w:t xml:space="preserve"> this tool is considered by the agents as a fundamental rate of return. Then, CB has, in its operations, an eye at the aspects it oversees and another eye at the </w:t>
      </w:r>
      <w:r w:rsidR="003F251D" w:rsidRPr="008210C1">
        <w:rPr>
          <w:rFonts w:ascii="Times New Roman" w:eastAsia="Times New Roman" w:hAnsi="Times New Roman" w:cs="Times New Roman"/>
          <w:sz w:val="24"/>
          <w:szCs w:val="24"/>
          <w:lang w:val="en-US" w:eastAsia="pt-BR"/>
        </w:rPr>
        <w:t xml:space="preserve">agents’ </w:t>
      </w:r>
      <w:r w:rsidR="00C0387A" w:rsidRPr="008210C1">
        <w:rPr>
          <w:rFonts w:ascii="Times New Roman" w:eastAsia="Times New Roman" w:hAnsi="Times New Roman" w:cs="Times New Roman"/>
          <w:sz w:val="24"/>
          <w:szCs w:val="24"/>
          <w:lang w:val="en-US" w:eastAsia="pt-BR"/>
        </w:rPr>
        <w:t>expectations. In this sense, conventions are key for a</w:t>
      </w:r>
      <w:r w:rsidRPr="008210C1">
        <w:rPr>
          <w:rFonts w:ascii="Times New Roman" w:eastAsia="Times New Roman" w:hAnsi="Times New Roman" w:cs="Times New Roman"/>
          <w:sz w:val="24"/>
          <w:szCs w:val="24"/>
          <w:lang w:val="en-US" w:eastAsia="pt-BR"/>
        </w:rPr>
        <w:t xml:space="preserve"> successful </w:t>
      </w:r>
      <w:r w:rsidR="00B86B23" w:rsidRPr="008210C1">
        <w:rPr>
          <w:rFonts w:ascii="Times New Roman" w:eastAsia="Times New Roman" w:hAnsi="Times New Roman" w:cs="Times New Roman"/>
          <w:sz w:val="24"/>
          <w:szCs w:val="24"/>
          <w:lang w:val="en-US" w:eastAsia="pt-BR"/>
        </w:rPr>
        <w:t>MP</w:t>
      </w:r>
      <w:r w:rsidRPr="008210C1">
        <w:rPr>
          <w:rFonts w:ascii="Times New Roman" w:eastAsia="Times New Roman" w:hAnsi="Times New Roman" w:cs="Times New Roman"/>
          <w:sz w:val="24"/>
          <w:szCs w:val="24"/>
          <w:lang w:val="en-US" w:eastAsia="pt-BR"/>
        </w:rPr>
        <w:t>. Given uncertainty</w:t>
      </w:r>
      <w:r w:rsidR="00C0387A" w:rsidRPr="008210C1">
        <w:rPr>
          <w:rFonts w:ascii="Times New Roman" w:eastAsia="Times New Roman" w:hAnsi="Times New Roman" w:cs="Times New Roman"/>
          <w:sz w:val="24"/>
          <w:szCs w:val="24"/>
          <w:lang w:val="en-US" w:eastAsia="pt-BR"/>
        </w:rPr>
        <w:t>, if conventions are misguided, agents have even less information of what expect of the movements between the current</w:t>
      </w:r>
      <w:r w:rsidRPr="008210C1">
        <w:rPr>
          <w:rFonts w:ascii="Times New Roman" w:eastAsia="Times New Roman" w:hAnsi="Times New Roman" w:cs="Times New Roman"/>
          <w:sz w:val="24"/>
          <w:szCs w:val="24"/>
          <w:lang w:val="en-US" w:eastAsia="pt-BR"/>
        </w:rPr>
        <w:t xml:space="preserve"> and future interest rate</w:t>
      </w:r>
      <w:r w:rsidR="000D3DB1" w:rsidRPr="008210C1">
        <w:rPr>
          <w:rFonts w:ascii="Times New Roman" w:eastAsia="Times New Roman" w:hAnsi="Times New Roman" w:cs="Times New Roman"/>
          <w:sz w:val="24"/>
          <w:szCs w:val="24"/>
          <w:lang w:val="en-US" w:eastAsia="pt-BR"/>
        </w:rPr>
        <w:t>s</w:t>
      </w:r>
      <w:r w:rsidR="00C0387A" w:rsidRPr="008210C1">
        <w:rPr>
          <w:rFonts w:ascii="Times New Roman" w:eastAsia="Times New Roman" w:hAnsi="Times New Roman" w:cs="Times New Roman"/>
          <w:sz w:val="24"/>
          <w:szCs w:val="24"/>
          <w:lang w:val="en-US" w:eastAsia="pt-BR"/>
        </w:rPr>
        <w:t xml:space="preserve">. </w:t>
      </w:r>
      <w:r w:rsidR="000D3DB1" w:rsidRPr="008210C1">
        <w:rPr>
          <w:rFonts w:ascii="Times New Roman" w:eastAsia="Times New Roman" w:hAnsi="Times New Roman" w:cs="Times New Roman"/>
          <w:sz w:val="24"/>
          <w:szCs w:val="24"/>
          <w:lang w:val="en-US" w:eastAsia="pt-BR"/>
        </w:rPr>
        <w:t>W</w:t>
      </w:r>
      <w:r w:rsidR="00C0387A" w:rsidRPr="008210C1">
        <w:rPr>
          <w:rFonts w:ascii="Times New Roman" w:eastAsia="Times New Roman" w:hAnsi="Times New Roman" w:cs="Times New Roman"/>
          <w:sz w:val="24"/>
          <w:szCs w:val="24"/>
          <w:lang w:val="en-US" w:eastAsia="pt-BR"/>
        </w:rPr>
        <w:t xml:space="preserve">hen the </w:t>
      </w:r>
      <w:r w:rsidR="008637DE" w:rsidRPr="008210C1">
        <w:rPr>
          <w:rFonts w:ascii="Times New Roman" w:eastAsia="Times New Roman" w:hAnsi="Times New Roman" w:cs="Times New Roman"/>
          <w:sz w:val="24"/>
          <w:szCs w:val="24"/>
          <w:lang w:val="en-US" w:eastAsia="pt-BR"/>
        </w:rPr>
        <w:t>CB</w:t>
      </w:r>
      <w:r w:rsidR="00C0387A" w:rsidRPr="008210C1">
        <w:rPr>
          <w:rFonts w:ascii="Times New Roman" w:eastAsia="Times New Roman" w:hAnsi="Times New Roman" w:cs="Times New Roman"/>
          <w:sz w:val="24"/>
          <w:szCs w:val="24"/>
          <w:lang w:val="en-US" w:eastAsia="pt-BR"/>
        </w:rPr>
        <w:t xml:space="preserve"> changes its interest rate without considering the agents’ expectations </w:t>
      </w:r>
      <w:r w:rsidR="000D3DB1" w:rsidRPr="008210C1">
        <w:rPr>
          <w:rFonts w:ascii="Times New Roman" w:eastAsia="Times New Roman" w:hAnsi="Times New Roman" w:cs="Times New Roman"/>
          <w:sz w:val="24"/>
          <w:szCs w:val="24"/>
          <w:lang w:val="en-US" w:eastAsia="pt-BR"/>
        </w:rPr>
        <w:t>it may</w:t>
      </w:r>
      <w:r w:rsidR="00C0387A" w:rsidRPr="008210C1">
        <w:rPr>
          <w:rFonts w:ascii="Times New Roman" w:eastAsia="Times New Roman" w:hAnsi="Times New Roman" w:cs="Times New Roman"/>
          <w:sz w:val="24"/>
          <w:szCs w:val="24"/>
          <w:lang w:val="en-US" w:eastAsia="pt-BR"/>
        </w:rPr>
        <w:t xml:space="preserve"> stop agents from negotiating debt; thereby, in an extreme case, the</w:t>
      </w:r>
      <w:r w:rsidR="008637DE" w:rsidRPr="008210C1">
        <w:rPr>
          <w:rFonts w:ascii="Times New Roman" w:eastAsia="Times New Roman" w:hAnsi="Times New Roman" w:cs="Times New Roman"/>
          <w:sz w:val="24"/>
          <w:szCs w:val="24"/>
          <w:lang w:val="en-US" w:eastAsia="pt-BR"/>
        </w:rPr>
        <w:t>re is the</w:t>
      </w:r>
      <w:r w:rsidR="00C0387A" w:rsidRPr="008210C1">
        <w:rPr>
          <w:rFonts w:ascii="Times New Roman" w:eastAsia="Times New Roman" w:hAnsi="Times New Roman" w:cs="Times New Roman"/>
          <w:sz w:val="24"/>
          <w:szCs w:val="24"/>
          <w:lang w:val="en-US" w:eastAsia="pt-BR"/>
        </w:rPr>
        <w:t xml:space="preserve"> </w:t>
      </w:r>
      <w:r w:rsidR="003C4812" w:rsidRPr="008210C1">
        <w:rPr>
          <w:rFonts w:ascii="Times New Roman" w:eastAsia="Times New Roman" w:hAnsi="Times New Roman" w:cs="Times New Roman"/>
          <w:sz w:val="24"/>
          <w:szCs w:val="24"/>
          <w:lang w:val="en-US" w:eastAsia="pt-BR"/>
        </w:rPr>
        <w:t xml:space="preserve">ineffectiveness </w:t>
      </w:r>
      <w:r w:rsidR="00C0387A" w:rsidRPr="008210C1">
        <w:rPr>
          <w:rFonts w:ascii="Times New Roman" w:eastAsia="Times New Roman" w:hAnsi="Times New Roman" w:cs="Times New Roman"/>
          <w:sz w:val="24"/>
          <w:szCs w:val="24"/>
          <w:lang w:val="en-US" w:eastAsia="pt-BR"/>
        </w:rPr>
        <w:t xml:space="preserve">of the </w:t>
      </w:r>
      <w:r w:rsidR="00B86B23" w:rsidRPr="008210C1">
        <w:rPr>
          <w:rFonts w:ascii="Times New Roman" w:eastAsia="Times New Roman" w:hAnsi="Times New Roman" w:cs="Times New Roman"/>
          <w:sz w:val="24"/>
          <w:szCs w:val="24"/>
          <w:lang w:val="en-US" w:eastAsia="pt-BR"/>
        </w:rPr>
        <w:t>MP</w:t>
      </w:r>
      <w:r w:rsidR="008637DE" w:rsidRPr="008210C1">
        <w:rPr>
          <w:rFonts w:ascii="Times New Roman" w:eastAsia="Times New Roman" w:hAnsi="Times New Roman" w:cs="Times New Roman"/>
          <w:sz w:val="24"/>
          <w:szCs w:val="24"/>
          <w:lang w:val="en-US" w:eastAsia="pt-BR"/>
        </w:rPr>
        <w:t xml:space="preserve">, as </w:t>
      </w:r>
      <w:r w:rsidR="000D3DB1" w:rsidRPr="008210C1">
        <w:rPr>
          <w:rFonts w:ascii="Times New Roman" w:eastAsia="Times New Roman" w:hAnsi="Times New Roman" w:cs="Times New Roman"/>
          <w:sz w:val="24"/>
          <w:szCs w:val="24"/>
          <w:lang w:val="en-US" w:eastAsia="pt-BR"/>
        </w:rPr>
        <w:t>Keynes</w:t>
      </w:r>
      <w:r w:rsidR="008637DE" w:rsidRPr="008210C1">
        <w:rPr>
          <w:rFonts w:ascii="Times New Roman" w:eastAsia="Times New Roman" w:hAnsi="Times New Roman" w:cs="Times New Roman"/>
          <w:sz w:val="24"/>
          <w:szCs w:val="24"/>
          <w:lang w:val="en-US" w:eastAsia="pt-BR"/>
        </w:rPr>
        <w:t xml:space="preserve"> </w:t>
      </w:r>
      <w:r w:rsidR="003C4812" w:rsidRPr="008210C1">
        <w:rPr>
          <w:rFonts w:ascii="Times New Roman" w:eastAsia="Times New Roman" w:hAnsi="Times New Roman" w:cs="Times New Roman"/>
          <w:sz w:val="24"/>
          <w:szCs w:val="24"/>
          <w:lang w:val="en-US" w:eastAsia="pt-BR"/>
        </w:rPr>
        <w:t xml:space="preserve">(1973) </w:t>
      </w:r>
      <w:r w:rsidR="000D3DB1" w:rsidRPr="008210C1">
        <w:rPr>
          <w:rFonts w:ascii="Times New Roman" w:eastAsia="Times New Roman" w:hAnsi="Times New Roman" w:cs="Times New Roman"/>
          <w:sz w:val="24"/>
          <w:szCs w:val="24"/>
          <w:lang w:val="en-US" w:eastAsia="pt-BR"/>
        </w:rPr>
        <w:t>illustrated</w:t>
      </w:r>
      <w:r w:rsidR="003C4812" w:rsidRPr="008210C1">
        <w:rPr>
          <w:rFonts w:ascii="Times New Roman" w:eastAsia="Times New Roman" w:hAnsi="Times New Roman" w:cs="Times New Roman"/>
          <w:sz w:val="24"/>
          <w:szCs w:val="24"/>
          <w:lang w:val="en-US" w:eastAsia="pt-BR"/>
        </w:rPr>
        <w:t>:</w:t>
      </w:r>
    </w:p>
    <w:p w:rsidR="00A51FC1" w:rsidRPr="008210C1" w:rsidRDefault="00A51FC1" w:rsidP="008210C1">
      <w:pPr>
        <w:spacing w:after="0" w:line="240" w:lineRule="auto"/>
        <w:ind w:firstLine="708"/>
        <w:jc w:val="both"/>
        <w:rPr>
          <w:rFonts w:ascii="Times New Roman" w:eastAsia="Times New Roman" w:hAnsi="Times New Roman" w:cs="Times New Roman"/>
          <w:sz w:val="24"/>
          <w:szCs w:val="24"/>
          <w:lang w:val="en-US" w:eastAsia="pt-BR"/>
        </w:rPr>
      </w:pPr>
    </w:p>
    <w:p w:rsidR="00C0387A" w:rsidRPr="008210C1" w:rsidRDefault="00C0387A" w:rsidP="008210C1">
      <w:pPr>
        <w:spacing w:after="0" w:line="240" w:lineRule="auto"/>
        <w:ind w:left="2126"/>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“a monetary policy which strikes public opinion as being experimental in character or easily liable to change may fail in its objective of greatly reducing the long-term rate of interest […] The same policy,</w:t>
      </w:r>
      <w:r w:rsidR="008637DE"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on the other hand, may prove easily successful if it appeals to public opinion as being reasonable and practicable and in the public interest, rooted in strong conviction</w:t>
      </w:r>
      <w:r w:rsidR="009B6482"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and promoted by an authority unlikely to be superseded […] the rate of interest is a highly conventional, rather than a highly psychological, phenomenon”</w:t>
      </w:r>
      <w:r w:rsidR="003C4812" w:rsidRPr="008210C1">
        <w:rPr>
          <w:rFonts w:ascii="Times New Roman" w:eastAsia="Times New Roman" w:hAnsi="Times New Roman" w:cs="Times New Roman"/>
          <w:sz w:val="24"/>
          <w:szCs w:val="24"/>
          <w:lang w:val="en-US" w:eastAsia="pt-BR"/>
        </w:rPr>
        <w:t xml:space="preserve"> (p. 203)</w:t>
      </w:r>
      <w:r w:rsidR="000D3DB1" w:rsidRPr="008210C1">
        <w:rPr>
          <w:rFonts w:ascii="Times New Roman" w:eastAsia="Times New Roman" w:hAnsi="Times New Roman" w:cs="Times New Roman"/>
          <w:sz w:val="24"/>
          <w:szCs w:val="24"/>
          <w:lang w:val="en-US" w:eastAsia="pt-BR"/>
        </w:rPr>
        <w:t>.</w:t>
      </w:r>
      <w:r w:rsidR="008637DE" w:rsidRPr="008210C1">
        <w:rPr>
          <w:rFonts w:ascii="Times New Roman" w:eastAsia="Times New Roman" w:hAnsi="Times New Roman" w:cs="Times New Roman"/>
          <w:sz w:val="24"/>
          <w:szCs w:val="24"/>
          <w:lang w:val="en-US" w:eastAsia="pt-BR"/>
        </w:rPr>
        <w:t xml:space="preserve"> </w:t>
      </w:r>
    </w:p>
    <w:p w:rsidR="001F3E0A" w:rsidRPr="008210C1" w:rsidRDefault="001F3E0A" w:rsidP="008210C1">
      <w:pPr>
        <w:spacing w:after="0" w:line="240" w:lineRule="auto"/>
        <w:jc w:val="both"/>
        <w:rPr>
          <w:rFonts w:ascii="Times New Roman" w:eastAsia="Times New Roman" w:hAnsi="Times New Roman" w:cs="Times New Roman"/>
          <w:sz w:val="24"/>
          <w:szCs w:val="24"/>
          <w:lang w:val="en-US" w:eastAsia="pt-BR"/>
        </w:rPr>
      </w:pPr>
    </w:p>
    <w:p w:rsidR="00C0387A" w:rsidRPr="008210C1" w:rsidRDefault="00C0387A" w:rsidP="008210C1">
      <w:pPr>
        <w:spacing w:after="0" w:line="240" w:lineRule="auto"/>
        <w:ind w:firstLine="708"/>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Hence,</w:t>
      </w:r>
      <w:r w:rsidR="008637DE" w:rsidRPr="008210C1">
        <w:rPr>
          <w:rFonts w:ascii="Times New Roman" w:eastAsia="Times New Roman" w:hAnsi="Times New Roman" w:cs="Times New Roman"/>
          <w:sz w:val="24"/>
          <w:szCs w:val="24"/>
          <w:lang w:val="en-US" w:eastAsia="pt-BR"/>
        </w:rPr>
        <w:t xml:space="preserve"> the</w:t>
      </w:r>
      <w:r w:rsidRPr="008210C1">
        <w:rPr>
          <w:rFonts w:ascii="Times New Roman" w:eastAsia="Times New Roman" w:hAnsi="Times New Roman" w:cs="Times New Roman"/>
          <w:sz w:val="24"/>
          <w:szCs w:val="24"/>
          <w:lang w:val="en-US" w:eastAsia="pt-BR"/>
        </w:rPr>
        <w:t xml:space="preserve"> </w:t>
      </w:r>
      <w:r w:rsidR="008637DE" w:rsidRPr="008210C1">
        <w:rPr>
          <w:rFonts w:ascii="Times New Roman" w:eastAsia="Times New Roman" w:hAnsi="Times New Roman" w:cs="Times New Roman"/>
          <w:sz w:val="24"/>
          <w:szCs w:val="24"/>
          <w:lang w:val="en-US" w:eastAsia="pt-BR"/>
        </w:rPr>
        <w:t xml:space="preserve">financial system yield curve </w:t>
      </w:r>
      <w:r w:rsidRPr="008210C1">
        <w:rPr>
          <w:rFonts w:ascii="Times New Roman" w:eastAsia="Times New Roman" w:hAnsi="Times New Roman" w:cs="Times New Roman"/>
          <w:sz w:val="24"/>
          <w:szCs w:val="24"/>
          <w:lang w:val="en-US" w:eastAsia="pt-BR"/>
        </w:rPr>
        <w:t>is a conventional phenomenon, set by reciproc</w:t>
      </w:r>
      <w:r w:rsidR="000D3DB1" w:rsidRPr="008210C1">
        <w:rPr>
          <w:rFonts w:ascii="Times New Roman" w:eastAsia="Times New Roman" w:hAnsi="Times New Roman" w:cs="Times New Roman"/>
          <w:sz w:val="24"/>
          <w:szCs w:val="24"/>
          <w:lang w:val="en-US" w:eastAsia="pt-BR"/>
        </w:rPr>
        <w:t>al</w:t>
      </w:r>
      <w:r w:rsidRPr="008210C1">
        <w:rPr>
          <w:rFonts w:ascii="Times New Roman" w:eastAsia="Times New Roman" w:hAnsi="Times New Roman" w:cs="Times New Roman"/>
          <w:sz w:val="24"/>
          <w:szCs w:val="24"/>
          <w:lang w:val="en-US" w:eastAsia="pt-BR"/>
        </w:rPr>
        <w:t xml:space="preserve"> </w:t>
      </w:r>
      <w:r w:rsidR="000D3DB1" w:rsidRPr="008210C1">
        <w:rPr>
          <w:rFonts w:ascii="Times New Roman" w:eastAsia="Times New Roman" w:hAnsi="Times New Roman" w:cs="Times New Roman"/>
          <w:sz w:val="24"/>
          <w:szCs w:val="24"/>
          <w:lang w:val="en-US" w:eastAsia="pt-BR"/>
        </w:rPr>
        <w:t>deals</w:t>
      </w:r>
      <w:r w:rsidRPr="008210C1">
        <w:rPr>
          <w:rFonts w:ascii="Times New Roman" w:eastAsia="Times New Roman" w:hAnsi="Times New Roman" w:cs="Times New Roman"/>
          <w:sz w:val="24"/>
          <w:szCs w:val="24"/>
          <w:lang w:val="en-US" w:eastAsia="pt-BR"/>
        </w:rPr>
        <w:t xml:space="preserve"> between the CB and </w:t>
      </w:r>
      <w:r w:rsidR="000D3DB1" w:rsidRPr="008210C1">
        <w:rPr>
          <w:rFonts w:ascii="Times New Roman" w:eastAsia="Times New Roman" w:hAnsi="Times New Roman" w:cs="Times New Roman"/>
          <w:sz w:val="24"/>
          <w:szCs w:val="24"/>
          <w:lang w:val="en-US" w:eastAsia="pt-BR"/>
        </w:rPr>
        <w:t>agents in the financial system. These</w:t>
      </w:r>
      <w:r w:rsidRPr="008210C1">
        <w:rPr>
          <w:rFonts w:ascii="Times New Roman" w:eastAsia="Times New Roman" w:hAnsi="Times New Roman" w:cs="Times New Roman"/>
          <w:sz w:val="24"/>
          <w:szCs w:val="24"/>
          <w:lang w:val="en-US" w:eastAsia="pt-BR"/>
        </w:rPr>
        <w:t xml:space="preserve"> negotiation</w:t>
      </w:r>
      <w:r w:rsidR="000D3DB1" w:rsidRPr="008210C1">
        <w:rPr>
          <w:rFonts w:ascii="Times New Roman" w:eastAsia="Times New Roman" w:hAnsi="Times New Roman" w:cs="Times New Roman"/>
          <w:sz w:val="24"/>
          <w:szCs w:val="24"/>
          <w:lang w:val="en-US" w:eastAsia="pt-BR"/>
        </w:rPr>
        <w:t>s</w:t>
      </w:r>
      <w:r w:rsidRPr="008210C1">
        <w:rPr>
          <w:rFonts w:ascii="Times New Roman" w:eastAsia="Times New Roman" w:hAnsi="Times New Roman" w:cs="Times New Roman"/>
          <w:sz w:val="24"/>
          <w:szCs w:val="24"/>
          <w:lang w:val="en-US" w:eastAsia="pt-BR"/>
        </w:rPr>
        <w:t xml:space="preserve"> first </w:t>
      </w:r>
      <w:r w:rsidR="008637DE" w:rsidRPr="008210C1">
        <w:rPr>
          <w:rFonts w:ascii="Times New Roman" w:eastAsia="Times New Roman" w:hAnsi="Times New Roman" w:cs="Times New Roman"/>
          <w:sz w:val="24"/>
          <w:szCs w:val="24"/>
          <w:lang w:val="en-US" w:eastAsia="pt-BR"/>
        </w:rPr>
        <w:t>consider</w:t>
      </w:r>
      <w:r w:rsidRPr="008210C1">
        <w:rPr>
          <w:rFonts w:ascii="Times New Roman" w:eastAsia="Times New Roman" w:hAnsi="Times New Roman" w:cs="Times New Roman"/>
          <w:sz w:val="24"/>
          <w:szCs w:val="24"/>
          <w:lang w:val="en-US" w:eastAsia="pt-BR"/>
        </w:rPr>
        <w:t xml:space="preserve"> the </w:t>
      </w:r>
      <w:r w:rsidR="000B60C7" w:rsidRPr="008210C1">
        <w:rPr>
          <w:rFonts w:ascii="Times New Roman" w:eastAsia="Times New Roman" w:hAnsi="Times New Roman" w:cs="Times New Roman"/>
          <w:sz w:val="24"/>
          <w:szCs w:val="24"/>
          <w:lang w:val="en-US" w:eastAsia="pt-BR"/>
        </w:rPr>
        <w:t xml:space="preserve">basic </w:t>
      </w:r>
      <w:r w:rsidRPr="008210C1">
        <w:rPr>
          <w:rFonts w:ascii="Times New Roman" w:eastAsia="Times New Roman" w:hAnsi="Times New Roman" w:cs="Times New Roman"/>
          <w:sz w:val="24"/>
          <w:szCs w:val="24"/>
          <w:lang w:val="en-US" w:eastAsia="pt-BR"/>
        </w:rPr>
        <w:t xml:space="preserve">rate of interest and if the </w:t>
      </w:r>
      <w:r w:rsidR="000B60C7" w:rsidRPr="008210C1">
        <w:rPr>
          <w:rFonts w:ascii="Times New Roman" w:eastAsia="Times New Roman" w:hAnsi="Times New Roman" w:cs="Times New Roman"/>
          <w:sz w:val="24"/>
          <w:szCs w:val="24"/>
          <w:lang w:val="en-US" w:eastAsia="pt-BR"/>
        </w:rPr>
        <w:t>CB</w:t>
      </w:r>
      <w:r w:rsidRPr="008210C1">
        <w:rPr>
          <w:rFonts w:ascii="Times New Roman" w:eastAsia="Times New Roman" w:hAnsi="Times New Roman" w:cs="Times New Roman"/>
          <w:sz w:val="24"/>
          <w:szCs w:val="24"/>
          <w:lang w:val="en-US" w:eastAsia="pt-BR"/>
        </w:rPr>
        <w:t xml:space="preserve"> is reliable, there is room for </w:t>
      </w:r>
      <w:r w:rsidR="000D3DB1" w:rsidRPr="008210C1">
        <w:rPr>
          <w:rFonts w:ascii="Times New Roman" w:eastAsia="Times New Roman" w:hAnsi="Times New Roman" w:cs="Times New Roman"/>
          <w:sz w:val="24"/>
          <w:szCs w:val="24"/>
          <w:lang w:val="en-US" w:eastAsia="pt-BR"/>
        </w:rPr>
        <w:t>them</w:t>
      </w:r>
      <w:r w:rsidRPr="008210C1">
        <w:rPr>
          <w:rFonts w:ascii="Times New Roman" w:eastAsia="Times New Roman" w:hAnsi="Times New Roman" w:cs="Times New Roman"/>
          <w:sz w:val="24"/>
          <w:szCs w:val="24"/>
          <w:lang w:val="en-US" w:eastAsia="pt-BR"/>
        </w:rPr>
        <w:t xml:space="preserve"> to occur. </w:t>
      </w:r>
      <w:r w:rsidR="008637DE" w:rsidRPr="008210C1">
        <w:rPr>
          <w:rFonts w:ascii="Times New Roman" w:eastAsia="Times New Roman" w:hAnsi="Times New Roman" w:cs="Times New Roman"/>
          <w:sz w:val="24"/>
          <w:szCs w:val="24"/>
          <w:lang w:val="en-US" w:eastAsia="pt-BR"/>
        </w:rPr>
        <w:t>D</w:t>
      </w:r>
      <w:r w:rsidRPr="008210C1">
        <w:rPr>
          <w:rFonts w:ascii="Times New Roman" w:eastAsia="Times New Roman" w:hAnsi="Times New Roman" w:cs="Times New Roman"/>
          <w:sz w:val="24"/>
          <w:szCs w:val="24"/>
          <w:lang w:val="en-US" w:eastAsia="pt-BR"/>
        </w:rPr>
        <w:t>ifferen</w:t>
      </w:r>
      <w:r w:rsidR="008637DE" w:rsidRPr="008210C1">
        <w:rPr>
          <w:rFonts w:ascii="Times New Roman" w:eastAsia="Times New Roman" w:hAnsi="Times New Roman" w:cs="Times New Roman"/>
          <w:sz w:val="24"/>
          <w:szCs w:val="24"/>
          <w:lang w:val="en-US" w:eastAsia="pt-BR"/>
        </w:rPr>
        <w:t>t opinions</w:t>
      </w:r>
      <w:r w:rsidRPr="008210C1">
        <w:rPr>
          <w:rFonts w:ascii="Times New Roman" w:eastAsia="Times New Roman" w:hAnsi="Times New Roman" w:cs="Times New Roman"/>
          <w:sz w:val="24"/>
          <w:szCs w:val="24"/>
          <w:lang w:val="en-US" w:eastAsia="pt-BR"/>
        </w:rPr>
        <w:t xml:space="preserve"> about the future interest rate make agents </w:t>
      </w:r>
      <w:r w:rsidR="003C4812" w:rsidRPr="008210C1">
        <w:rPr>
          <w:rFonts w:ascii="Times New Roman" w:eastAsia="Times New Roman" w:hAnsi="Times New Roman" w:cs="Times New Roman"/>
          <w:sz w:val="24"/>
          <w:szCs w:val="24"/>
          <w:lang w:val="en-US" w:eastAsia="pt-BR"/>
        </w:rPr>
        <w:t>speculate</w:t>
      </w:r>
      <w:r w:rsidRPr="008210C1">
        <w:rPr>
          <w:rFonts w:ascii="Times New Roman" w:eastAsia="Times New Roman" w:hAnsi="Times New Roman" w:cs="Times New Roman"/>
          <w:sz w:val="24"/>
          <w:szCs w:val="24"/>
          <w:lang w:val="en-US" w:eastAsia="pt-BR"/>
        </w:rPr>
        <w:t>.</w:t>
      </w:r>
      <w:r w:rsidR="00AB1CF8"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xml:space="preserve">Still, </w:t>
      </w:r>
      <w:r w:rsidR="008637DE" w:rsidRPr="008210C1">
        <w:rPr>
          <w:rFonts w:ascii="Times New Roman" w:eastAsia="Times New Roman" w:hAnsi="Times New Roman" w:cs="Times New Roman"/>
          <w:sz w:val="24"/>
          <w:szCs w:val="24"/>
          <w:lang w:val="en-US" w:eastAsia="pt-BR"/>
        </w:rPr>
        <w:t>diverse</w:t>
      </w:r>
      <w:r w:rsidRPr="008210C1">
        <w:rPr>
          <w:rFonts w:ascii="Times New Roman" w:eastAsia="Times New Roman" w:hAnsi="Times New Roman" w:cs="Times New Roman"/>
          <w:sz w:val="24"/>
          <w:szCs w:val="24"/>
          <w:lang w:val="en-US" w:eastAsia="pt-BR"/>
        </w:rPr>
        <w:t xml:space="preserve"> opinions found </w:t>
      </w:r>
      <w:r w:rsidR="008637DE" w:rsidRPr="008210C1">
        <w:rPr>
          <w:rFonts w:ascii="Times New Roman" w:eastAsia="Times New Roman" w:hAnsi="Times New Roman" w:cs="Times New Roman"/>
          <w:sz w:val="24"/>
          <w:szCs w:val="24"/>
          <w:lang w:val="en-US" w:eastAsia="pt-BR"/>
        </w:rPr>
        <w:t>them</w:t>
      </w:r>
      <w:r w:rsidRPr="008210C1">
        <w:rPr>
          <w:rFonts w:ascii="Times New Roman" w:eastAsia="Times New Roman" w:hAnsi="Times New Roman" w:cs="Times New Roman"/>
          <w:sz w:val="24"/>
          <w:szCs w:val="24"/>
          <w:lang w:val="en-US" w:eastAsia="pt-BR"/>
        </w:rPr>
        <w:t>sel</w:t>
      </w:r>
      <w:r w:rsidR="008637DE" w:rsidRPr="008210C1">
        <w:rPr>
          <w:rFonts w:ascii="Times New Roman" w:eastAsia="Times New Roman" w:hAnsi="Times New Roman" w:cs="Times New Roman"/>
          <w:sz w:val="24"/>
          <w:szCs w:val="24"/>
          <w:lang w:val="en-US" w:eastAsia="pt-BR"/>
        </w:rPr>
        <w:t>ves</w:t>
      </w:r>
      <w:r w:rsidRPr="008210C1">
        <w:rPr>
          <w:rFonts w:ascii="Times New Roman" w:eastAsia="Times New Roman" w:hAnsi="Times New Roman" w:cs="Times New Roman"/>
          <w:sz w:val="24"/>
          <w:szCs w:val="24"/>
          <w:lang w:val="en-US" w:eastAsia="pt-BR"/>
        </w:rPr>
        <w:t xml:space="preserve"> in the convention that the CB would not stablish its future interest rate based </w:t>
      </w:r>
      <w:r w:rsidR="008637DE" w:rsidRPr="008210C1">
        <w:rPr>
          <w:rFonts w:ascii="Times New Roman" w:eastAsia="Times New Roman" w:hAnsi="Times New Roman" w:cs="Times New Roman"/>
          <w:sz w:val="24"/>
          <w:szCs w:val="24"/>
          <w:lang w:val="en-US" w:eastAsia="pt-BR"/>
        </w:rPr>
        <w:t>o</w:t>
      </w:r>
      <w:r w:rsidRPr="008210C1">
        <w:rPr>
          <w:rFonts w:ascii="Times New Roman" w:eastAsia="Times New Roman" w:hAnsi="Times New Roman" w:cs="Times New Roman"/>
          <w:sz w:val="24"/>
          <w:szCs w:val="24"/>
          <w:lang w:val="en-US" w:eastAsia="pt-BR"/>
        </w:rPr>
        <w:t xml:space="preserve">n non-reasonable ideas. If the convention is that the </w:t>
      </w:r>
      <w:r w:rsidR="008637DE" w:rsidRPr="008210C1">
        <w:rPr>
          <w:rFonts w:ascii="Times New Roman" w:eastAsia="Times New Roman" w:hAnsi="Times New Roman" w:cs="Times New Roman"/>
          <w:sz w:val="24"/>
          <w:szCs w:val="24"/>
          <w:lang w:val="en-US" w:eastAsia="pt-BR"/>
        </w:rPr>
        <w:t>CB</w:t>
      </w:r>
      <w:r w:rsidRPr="008210C1">
        <w:rPr>
          <w:rFonts w:ascii="Times New Roman" w:eastAsia="Times New Roman" w:hAnsi="Times New Roman" w:cs="Times New Roman"/>
          <w:sz w:val="24"/>
          <w:szCs w:val="24"/>
          <w:lang w:val="en-US" w:eastAsia="pt-BR"/>
        </w:rPr>
        <w:t xml:space="preserve"> has no basis and coherence </w:t>
      </w:r>
      <w:r w:rsidR="003C4812" w:rsidRPr="008210C1">
        <w:rPr>
          <w:rFonts w:ascii="Times New Roman" w:eastAsia="Times New Roman" w:hAnsi="Times New Roman" w:cs="Times New Roman"/>
          <w:sz w:val="24"/>
          <w:szCs w:val="24"/>
          <w:lang w:val="en-US" w:eastAsia="pt-BR"/>
        </w:rPr>
        <w:t>i</w:t>
      </w:r>
      <w:r w:rsidRPr="008210C1">
        <w:rPr>
          <w:rFonts w:ascii="Times New Roman" w:eastAsia="Times New Roman" w:hAnsi="Times New Roman" w:cs="Times New Roman"/>
          <w:sz w:val="24"/>
          <w:szCs w:val="24"/>
          <w:lang w:val="en-US" w:eastAsia="pt-BR"/>
        </w:rPr>
        <w:t xml:space="preserve">n </w:t>
      </w:r>
      <w:r w:rsidR="00EA4FE9" w:rsidRPr="008210C1">
        <w:rPr>
          <w:rFonts w:ascii="Times New Roman" w:eastAsia="Times New Roman" w:hAnsi="Times New Roman" w:cs="Times New Roman"/>
          <w:sz w:val="24"/>
          <w:szCs w:val="24"/>
          <w:lang w:val="en-US" w:eastAsia="pt-BR"/>
        </w:rPr>
        <w:t>setting</w:t>
      </w:r>
      <w:r w:rsidRPr="008210C1">
        <w:rPr>
          <w:rFonts w:ascii="Times New Roman" w:eastAsia="Times New Roman" w:hAnsi="Times New Roman" w:cs="Times New Roman"/>
          <w:sz w:val="24"/>
          <w:szCs w:val="24"/>
          <w:lang w:val="en-US" w:eastAsia="pt-BR"/>
        </w:rPr>
        <w:t xml:space="preserve"> its interest rate, the shared belief would probably understand that the </w:t>
      </w:r>
      <w:r w:rsidR="00B86B23" w:rsidRPr="008210C1">
        <w:rPr>
          <w:rFonts w:ascii="Times New Roman" w:eastAsia="Times New Roman" w:hAnsi="Times New Roman" w:cs="Times New Roman"/>
          <w:sz w:val="24"/>
          <w:szCs w:val="24"/>
          <w:lang w:val="en-US" w:eastAsia="pt-BR"/>
        </w:rPr>
        <w:t>MP</w:t>
      </w:r>
      <w:r w:rsidRPr="008210C1">
        <w:rPr>
          <w:rFonts w:ascii="Times New Roman" w:eastAsia="Times New Roman" w:hAnsi="Times New Roman" w:cs="Times New Roman"/>
          <w:sz w:val="24"/>
          <w:szCs w:val="24"/>
          <w:lang w:val="en-US" w:eastAsia="pt-BR"/>
        </w:rPr>
        <w:t xml:space="preserve"> is misleading. </w:t>
      </w:r>
    </w:p>
    <w:p w:rsidR="00C0387A" w:rsidRPr="008210C1" w:rsidRDefault="008637DE" w:rsidP="008210C1">
      <w:pPr>
        <w:spacing w:after="0" w:line="240" w:lineRule="auto"/>
        <w:ind w:firstLine="708"/>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 xml:space="preserve">The other </w:t>
      </w:r>
      <w:r w:rsidR="00B86B23" w:rsidRPr="008210C1">
        <w:rPr>
          <w:rFonts w:ascii="Times New Roman" w:eastAsia="Times New Roman" w:hAnsi="Times New Roman" w:cs="Times New Roman"/>
          <w:sz w:val="24"/>
          <w:szCs w:val="24"/>
          <w:lang w:val="en-US" w:eastAsia="pt-BR"/>
        </w:rPr>
        <w:t>MP</w:t>
      </w:r>
      <w:r w:rsidRPr="008210C1">
        <w:rPr>
          <w:rFonts w:ascii="Times New Roman" w:eastAsia="Times New Roman" w:hAnsi="Times New Roman" w:cs="Times New Roman"/>
          <w:sz w:val="24"/>
          <w:szCs w:val="24"/>
          <w:lang w:val="en-US" w:eastAsia="pt-BR"/>
        </w:rPr>
        <w:t xml:space="preserve"> tool is r</w:t>
      </w:r>
      <w:r w:rsidR="00C0387A" w:rsidRPr="008210C1">
        <w:rPr>
          <w:rFonts w:ascii="Times New Roman" w:eastAsia="Times New Roman" w:hAnsi="Times New Roman" w:cs="Times New Roman"/>
          <w:sz w:val="24"/>
          <w:szCs w:val="24"/>
          <w:lang w:val="en-US" w:eastAsia="pt-BR"/>
        </w:rPr>
        <w:t>egulation</w:t>
      </w:r>
      <w:r w:rsidRPr="008210C1">
        <w:rPr>
          <w:rFonts w:ascii="Times New Roman" w:eastAsia="Times New Roman" w:hAnsi="Times New Roman" w:cs="Times New Roman"/>
          <w:sz w:val="24"/>
          <w:szCs w:val="24"/>
          <w:lang w:val="en-US" w:eastAsia="pt-BR"/>
        </w:rPr>
        <w:t>. I</w:t>
      </w:r>
      <w:r w:rsidR="00150312" w:rsidRPr="008210C1">
        <w:rPr>
          <w:rFonts w:ascii="Times New Roman" w:eastAsia="Times New Roman" w:hAnsi="Times New Roman" w:cs="Times New Roman"/>
          <w:sz w:val="24"/>
          <w:szCs w:val="24"/>
          <w:lang w:val="en-US" w:eastAsia="pt-BR"/>
        </w:rPr>
        <w:t xml:space="preserve">t </w:t>
      </w:r>
      <w:r w:rsidR="00C0387A" w:rsidRPr="008210C1">
        <w:rPr>
          <w:rFonts w:ascii="Times New Roman" w:eastAsia="Times New Roman" w:hAnsi="Times New Roman" w:cs="Times New Roman"/>
          <w:sz w:val="24"/>
          <w:szCs w:val="24"/>
          <w:lang w:val="en-US" w:eastAsia="pt-BR"/>
        </w:rPr>
        <w:t>is laws</w:t>
      </w:r>
      <w:r w:rsidR="00C25C3C" w:rsidRPr="008210C1">
        <w:rPr>
          <w:rFonts w:ascii="Times New Roman" w:eastAsia="Times New Roman" w:hAnsi="Times New Roman" w:cs="Times New Roman"/>
          <w:sz w:val="24"/>
          <w:szCs w:val="24"/>
          <w:lang w:val="en-US" w:eastAsia="pt-BR"/>
        </w:rPr>
        <w:t>/rules</w:t>
      </w:r>
      <w:r w:rsidR="00C0387A" w:rsidRPr="008210C1">
        <w:rPr>
          <w:rFonts w:ascii="Times New Roman" w:eastAsia="Times New Roman" w:hAnsi="Times New Roman" w:cs="Times New Roman"/>
          <w:sz w:val="24"/>
          <w:szCs w:val="24"/>
          <w:lang w:val="en-US" w:eastAsia="pt-BR"/>
        </w:rPr>
        <w:t xml:space="preserve"> that stipulate </w:t>
      </w:r>
      <w:r w:rsidR="00C25C3C" w:rsidRPr="008210C1">
        <w:rPr>
          <w:rFonts w:ascii="Times New Roman" w:eastAsia="Times New Roman" w:hAnsi="Times New Roman" w:cs="Times New Roman"/>
          <w:sz w:val="24"/>
          <w:szCs w:val="24"/>
          <w:lang w:val="en-US" w:eastAsia="pt-BR"/>
        </w:rPr>
        <w:t>what c</w:t>
      </w:r>
      <w:r w:rsidR="00C0387A" w:rsidRPr="008210C1">
        <w:rPr>
          <w:rFonts w:ascii="Times New Roman" w:eastAsia="Times New Roman" w:hAnsi="Times New Roman" w:cs="Times New Roman"/>
          <w:sz w:val="24"/>
          <w:szCs w:val="24"/>
          <w:lang w:val="en-US" w:eastAsia="pt-BR"/>
        </w:rPr>
        <w:t>an be done in the financial market</w:t>
      </w:r>
      <w:r w:rsidR="009F146E" w:rsidRPr="008210C1">
        <w:rPr>
          <w:rFonts w:ascii="Times New Roman" w:eastAsia="Times New Roman" w:hAnsi="Times New Roman" w:cs="Times New Roman"/>
          <w:sz w:val="24"/>
          <w:szCs w:val="24"/>
          <w:lang w:val="en-US" w:eastAsia="pt-BR"/>
        </w:rPr>
        <w:t>s</w:t>
      </w:r>
      <w:r w:rsidR="00C0387A" w:rsidRPr="008210C1">
        <w:rPr>
          <w:rFonts w:ascii="Times New Roman" w:eastAsia="Times New Roman" w:hAnsi="Times New Roman" w:cs="Times New Roman"/>
          <w:sz w:val="24"/>
          <w:szCs w:val="24"/>
          <w:lang w:val="en-US" w:eastAsia="pt-BR"/>
        </w:rPr>
        <w:t>.</w:t>
      </w:r>
      <w:r w:rsidR="009B6482" w:rsidRPr="008210C1">
        <w:rPr>
          <w:rFonts w:ascii="Times New Roman" w:eastAsia="Times New Roman" w:hAnsi="Times New Roman" w:cs="Times New Roman"/>
          <w:sz w:val="24"/>
          <w:szCs w:val="24"/>
          <w:lang w:val="en-US" w:eastAsia="pt-BR"/>
        </w:rPr>
        <w:t xml:space="preserve"> </w:t>
      </w:r>
      <w:r w:rsidR="00222760" w:rsidRPr="008210C1">
        <w:rPr>
          <w:rFonts w:ascii="Times New Roman" w:eastAsia="Times New Roman" w:hAnsi="Times New Roman" w:cs="Times New Roman"/>
          <w:sz w:val="24"/>
          <w:szCs w:val="24"/>
          <w:lang w:val="en-US" w:eastAsia="pt-BR"/>
        </w:rPr>
        <w:t>Like</w:t>
      </w:r>
      <w:r w:rsidR="00150312" w:rsidRPr="008210C1">
        <w:rPr>
          <w:rFonts w:ascii="Times New Roman" w:eastAsia="Times New Roman" w:hAnsi="Times New Roman" w:cs="Times New Roman"/>
          <w:sz w:val="24"/>
          <w:szCs w:val="24"/>
          <w:lang w:val="en-US" w:eastAsia="pt-BR"/>
        </w:rPr>
        <w:t xml:space="preserve"> the interest rate, regulation should be stable</w:t>
      </w:r>
      <w:r w:rsidR="00006D0D" w:rsidRPr="008210C1">
        <w:rPr>
          <w:rFonts w:ascii="Times New Roman" w:eastAsia="Times New Roman" w:hAnsi="Times New Roman" w:cs="Times New Roman"/>
          <w:sz w:val="24"/>
          <w:szCs w:val="24"/>
          <w:lang w:val="en-US" w:eastAsia="pt-BR"/>
        </w:rPr>
        <w:t xml:space="preserve">, because it </w:t>
      </w:r>
      <w:r w:rsidR="00150312" w:rsidRPr="008210C1">
        <w:rPr>
          <w:rFonts w:ascii="Times New Roman" w:eastAsia="Times New Roman" w:hAnsi="Times New Roman" w:cs="Times New Roman"/>
          <w:sz w:val="24"/>
          <w:szCs w:val="24"/>
          <w:lang w:val="en-US" w:eastAsia="pt-BR"/>
        </w:rPr>
        <w:t>direct impact</w:t>
      </w:r>
      <w:r w:rsidR="000B60C7" w:rsidRPr="008210C1">
        <w:rPr>
          <w:rFonts w:ascii="Times New Roman" w:eastAsia="Times New Roman" w:hAnsi="Times New Roman" w:cs="Times New Roman"/>
          <w:sz w:val="24"/>
          <w:szCs w:val="24"/>
          <w:lang w:val="en-US" w:eastAsia="pt-BR"/>
        </w:rPr>
        <w:t>s</w:t>
      </w:r>
      <w:r w:rsidR="00150312" w:rsidRPr="008210C1">
        <w:rPr>
          <w:rFonts w:ascii="Times New Roman" w:eastAsia="Times New Roman" w:hAnsi="Times New Roman" w:cs="Times New Roman"/>
          <w:sz w:val="24"/>
          <w:szCs w:val="24"/>
          <w:lang w:val="en-US" w:eastAsia="pt-BR"/>
        </w:rPr>
        <w:t xml:space="preserve"> agents’ behavior in financial markets</w:t>
      </w:r>
      <w:r w:rsidR="00006D0D" w:rsidRPr="008210C1">
        <w:rPr>
          <w:rFonts w:ascii="Times New Roman" w:eastAsia="Times New Roman" w:hAnsi="Times New Roman" w:cs="Times New Roman"/>
          <w:sz w:val="24"/>
          <w:szCs w:val="24"/>
          <w:lang w:val="en-US" w:eastAsia="pt-BR"/>
        </w:rPr>
        <w:t>. I</w:t>
      </w:r>
      <w:r w:rsidR="00150312" w:rsidRPr="008210C1">
        <w:rPr>
          <w:rFonts w:ascii="Times New Roman" w:eastAsia="Times New Roman" w:hAnsi="Times New Roman" w:cs="Times New Roman"/>
          <w:sz w:val="24"/>
          <w:szCs w:val="24"/>
          <w:lang w:val="en-US" w:eastAsia="pt-BR"/>
        </w:rPr>
        <w:t xml:space="preserve">f the CB continuously switches </w:t>
      </w:r>
      <w:r w:rsidR="006104AE" w:rsidRPr="008210C1">
        <w:rPr>
          <w:rFonts w:ascii="Times New Roman" w:eastAsia="Times New Roman" w:hAnsi="Times New Roman" w:cs="Times New Roman"/>
          <w:sz w:val="24"/>
          <w:szCs w:val="24"/>
          <w:lang w:val="en-US" w:eastAsia="pt-BR"/>
        </w:rPr>
        <w:t>the</w:t>
      </w:r>
      <w:r w:rsidR="00150312" w:rsidRPr="008210C1">
        <w:rPr>
          <w:rFonts w:ascii="Times New Roman" w:eastAsia="Times New Roman" w:hAnsi="Times New Roman" w:cs="Times New Roman"/>
          <w:sz w:val="24"/>
          <w:szCs w:val="24"/>
          <w:lang w:val="en-US" w:eastAsia="pt-BR"/>
        </w:rPr>
        <w:t xml:space="preserve"> regulatory framework, it </w:t>
      </w:r>
      <w:r w:rsidR="009F146E" w:rsidRPr="008210C1">
        <w:rPr>
          <w:rFonts w:ascii="Times New Roman" w:eastAsia="Times New Roman" w:hAnsi="Times New Roman" w:cs="Times New Roman"/>
          <w:sz w:val="24"/>
          <w:szCs w:val="24"/>
          <w:lang w:val="en-US" w:eastAsia="pt-BR"/>
        </w:rPr>
        <w:t>sets</w:t>
      </w:r>
      <w:r w:rsidR="00150312" w:rsidRPr="008210C1">
        <w:rPr>
          <w:rFonts w:ascii="Times New Roman" w:eastAsia="Times New Roman" w:hAnsi="Times New Roman" w:cs="Times New Roman"/>
          <w:sz w:val="24"/>
          <w:szCs w:val="24"/>
          <w:lang w:val="en-US" w:eastAsia="pt-BR"/>
        </w:rPr>
        <w:t xml:space="preserve"> a</w:t>
      </w:r>
      <w:r w:rsidR="003C4812" w:rsidRPr="008210C1">
        <w:rPr>
          <w:rFonts w:ascii="Times New Roman" w:eastAsia="Times New Roman" w:hAnsi="Times New Roman" w:cs="Times New Roman"/>
          <w:sz w:val="24"/>
          <w:szCs w:val="24"/>
          <w:lang w:val="en-US" w:eastAsia="pt-BR"/>
        </w:rPr>
        <w:t>n uncertain</w:t>
      </w:r>
      <w:r w:rsidR="00150312" w:rsidRPr="008210C1">
        <w:rPr>
          <w:rFonts w:ascii="Times New Roman" w:eastAsia="Times New Roman" w:hAnsi="Times New Roman" w:cs="Times New Roman"/>
          <w:sz w:val="24"/>
          <w:szCs w:val="24"/>
          <w:lang w:val="en-US" w:eastAsia="pt-BR"/>
        </w:rPr>
        <w:t xml:space="preserve"> environment </w:t>
      </w:r>
      <w:r w:rsidR="00222760" w:rsidRPr="008210C1">
        <w:rPr>
          <w:rFonts w:ascii="Times New Roman" w:eastAsia="Times New Roman" w:hAnsi="Times New Roman" w:cs="Times New Roman"/>
          <w:sz w:val="24"/>
          <w:szCs w:val="24"/>
          <w:lang w:val="en-US" w:eastAsia="pt-BR"/>
        </w:rPr>
        <w:t>where</w:t>
      </w:r>
      <w:r w:rsidR="008B7CAC" w:rsidRPr="008210C1">
        <w:rPr>
          <w:rFonts w:ascii="Times New Roman" w:eastAsia="Times New Roman" w:hAnsi="Times New Roman" w:cs="Times New Roman"/>
          <w:sz w:val="24"/>
          <w:szCs w:val="24"/>
          <w:lang w:val="en-US" w:eastAsia="pt-BR"/>
        </w:rPr>
        <w:t xml:space="preserve"> </w:t>
      </w:r>
      <w:r w:rsidR="00150312" w:rsidRPr="008210C1">
        <w:rPr>
          <w:rFonts w:ascii="Times New Roman" w:eastAsia="Times New Roman" w:hAnsi="Times New Roman" w:cs="Times New Roman"/>
          <w:sz w:val="24"/>
          <w:szCs w:val="24"/>
          <w:lang w:val="en-US" w:eastAsia="pt-BR"/>
        </w:rPr>
        <w:t>agents become confused about which business is allowed.</w:t>
      </w:r>
    </w:p>
    <w:p w:rsidR="00150312" w:rsidRPr="008210C1" w:rsidRDefault="00296E02" w:rsidP="008210C1">
      <w:pPr>
        <w:spacing w:after="0" w:line="240" w:lineRule="auto"/>
        <w:ind w:firstLine="708"/>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So</w:t>
      </w:r>
      <w:r w:rsidR="00150312" w:rsidRPr="008210C1">
        <w:rPr>
          <w:rFonts w:ascii="Times New Roman" w:eastAsia="Times New Roman" w:hAnsi="Times New Roman" w:cs="Times New Roman"/>
          <w:sz w:val="24"/>
          <w:szCs w:val="24"/>
          <w:lang w:val="en-US" w:eastAsia="pt-BR"/>
        </w:rPr>
        <w:t xml:space="preserve">, </w:t>
      </w:r>
      <w:r w:rsidR="00B86B23" w:rsidRPr="008210C1">
        <w:rPr>
          <w:rFonts w:ascii="Times New Roman" w:eastAsia="Times New Roman" w:hAnsi="Times New Roman" w:cs="Times New Roman"/>
          <w:sz w:val="24"/>
          <w:szCs w:val="24"/>
          <w:lang w:val="en-US" w:eastAsia="pt-BR"/>
        </w:rPr>
        <w:t>MP</w:t>
      </w:r>
      <w:r w:rsidR="00150312" w:rsidRPr="008210C1">
        <w:rPr>
          <w:rFonts w:ascii="Times New Roman" w:eastAsia="Times New Roman" w:hAnsi="Times New Roman" w:cs="Times New Roman"/>
          <w:sz w:val="24"/>
          <w:szCs w:val="24"/>
          <w:lang w:val="en-US" w:eastAsia="pt-BR"/>
        </w:rPr>
        <w:t xml:space="preserve"> should be conducted with parsimony, pragmatism, transparency and a kind of ruled discretion</w:t>
      </w:r>
      <w:r w:rsidR="00F36E6C" w:rsidRPr="008210C1">
        <w:rPr>
          <w:rFonts w:ascii="Times New Roman" w:eastAsia="Times New Roman" w:hAnsi="Times New Roman" w:cs="Times New Roman"/>
          <w:sz w:val="24"/>
          <w:szCs w:val="24"/>
          <w:lang w:val="en-US" w:eastAsia="pt-BR"/>
        </w:rPr>
        <w:t>. CB interest</w:t>
      </w:r>
      <w:r w:rsidR="00150312" w:rsidRPr="008210C1">
        <w:rPr>
          <w:rFonts w:ascii="Times New Roman" w:eastAsia="Times New Roman" w:hAnsi="Times New Roman" w:cs="Times New Roman"/>
          <w:sz w:val="24"/>
          <w:szCs w:val="24"/>
          <w:lang w:val="en-US" w:eastAsia="pt-BR"/>
        </w:rPr>
        <w:t xml:space="preserve"> </w:t>
      </w:r>
      <w:r w:rsidR="00F36E6C" w:rsidRPr="008210C1">
        <w:rPr>
          <w:rFonts w:ascii="Times New Roman" w:eastAsia="Times New Roman" w:hAnsi="Times New Roman" w:cs="Times New Roman"/>
          <w:sz w:val="24"/>
          <w:szCs w:val="24"/>
          <w:lang w:val="en-US" w:eastAsia="pt-BR"/>
        </w:rPr>
        <w:t>rate</w:t>
      </w:r>
      <w:r w:rsidR="00B548D1" w:rsidRPr="008210C1">
        <w:rPr>
          <w:rFonts w:ascii="Times New Roman" w:eastAsia="Times New Roman" w:hAnsi="Times New Roman" w:cs="Times New Roman"/>
          <w:sz w:val="24"/>
          <w:szCs w:val="24"/>
          <w:lang w:val="en-US" w:eastAsia="pt-BR"/>
        </w:rPr>
        <w:t xml:space="preserve"> </w:t>
      </w:r>
      <w:r w:rsidR="000B60C7" w:rsidRPr="008210C1">
        <w:rPr>
          <w:rFonts w:ascii="Times New Roman" w:eastAsia="Times New Roman" w:hAnsi="Times New Roman" w:cs="Times New Roman"/>
          <w:sz w:val="24"/>
          <w:szCs w:val="24"/>
          <w:lang w:val="en-US" w:eastAsia="pt-BR"/>
        </w:rPr>
        <w:t xml:space="preserve">does not </w:t>
      </w:r>
      <w:r w:rsidR="00B548D1" w:rsidRPr="008210C1">
        <w:rPr>
          <w:rFonts w:ascii="Times New Roman" w:eastAsia="Times New Roman" w:hAnsi="Times New Roman" w:cs="Times New Roman"/>
          <w:sz w:val="24"/>
          <w:szCs w:val="24"/>
          <w:lang w:val="en-US" w:eastAsia="pt-BR"/>
        </w:rPr>
        <w:t xml:space="preserve">help </w:t>
      </w:r>
      <w:r w:rsidR="00150312" w:rsidRPr="008210C1">
        <w:rPr>
          <w:rFonts w:ascii="Times New Roman" w:eastAsia="Times New Roman" w:hAnsi="Times New Roman" w:cs="Times New Roman"/>
          <w:sz w:val="24"/>
          <w:szCs w:val="24"/>
          <w:lang w:val="en-US" w:eastAsia="pt-BR"/>
        </w:rPr>
        <w:t>reach</w:t>
      </w:r>
      <w:r w:rsidR="000B60C7" w:rsidRPr="008210C1">
        <w:rPr>
          <w:rFonts w:ascii="Times New Roman" w:eastAsia="Times New Roman" w:hAnsi="Times New Roman" w:cs="Times New Roman"/>
          <w:sz w:val="24"/>
          <w:szCs w:val="24"/>
          <w:lang w:val="en-US" w:eastAsia="pt-BR"/>
        </w:rPr>
        <w:t>ing</w:t>
      </w:r>
      <w:r w:rsidR="00150312" w:rsidRPr="008210C1">
        <w:rPr>
          <w:rFonts w:ascii="Times New Roman" w:eastAsia="Times New Roman" w:hAnsi="Times New Roman" w:cs="Times New Roman"/>
          <w:sz w:val="24"/>
          <w:szCs w:val="24"/>
          <w:lang w:val="en-US" w:eastAsia="pt-BR"/>
        </w:rPr>
        <w:t xml:space="preserve"> full employment at any cost, but in accordance with the </w:t>
      </w:r>
      <w:r w:rsidR="00B548D1" w:rsidRPr="008210C1">
        <w:rPr>
          <w:rFonts w:ascii="Times New Roman" w:eastAsia="Times New Roman" w:hAnsi="Times New Roman" w:cs="Times New Roman"/>
          <w:sz w:val="24"/>
          <w:szCs w:val="24"/>
          <w:lang w:val="en-US" w:eastAsia="pt-BR"/>
        </w:rPr>
        <w:t xml:space="preserve">economic </w:t>
      </w:r>
      <w:r w:rsidR="00150312" w:rsidRPr="008210C1">
        <w:rPr>
          <w:rFonts w:ascii="Times New Roman" w:eastAsia="Times New Roman" w:hAnsi="Times New Roman" w:cs="Times New Roman"/>
          <w:sz w:val="24"/>
          <w:szCs w:val="24"/>
          <w:lang w:val="en-US" w:eastAsia="pt-BR"/>
        </w:rPr>
        <w:t xml:space="preserve">circumstances. </w:t>
      </w:r>
      <w:r w:rsidR="009F146E" w:rsidRPr="008210C1">
        <w:rPr>
          <w:rFonts w:ascii="Times New Roman" w:eastAsia="Times New Roman" w:hAnsi="Times New Roman" w:cs="Times New Roman"/>
          <w:sz w:val="24"/>
          <w:szCs w:val="24"/>
          <w:lang w:val="en-US" w:eastAsia="pt-BR"/>
        </w:rPr>
        <w:t>Also</w:t>
      </w:r>
      <w:r w:rsidR="00150312" w:rsidRPr="008210C1">
        <w:rPr>
          <w:rFonts w:ascii="Times New Roman" w:eastAsia="Times New Roman" w:hAnsi="Times New Roman" w:cs="Times New Roman"/>
          <w:sz w:val="24"/>
          <w:szCs w:val="24"/>
          <w:lang w:val="en-US" w:eastAsia="pt-BR"/>
        </w:rPr>
        <w:t xml:space="preserve">, if the regulatory framework changes a lot, it constitutes bad conventions. Conventions about the current and future behaviors of </w:t>
      </w:r>
      <w:r w:rsidR="00B86B23" w:rsidRPr="008210C1">
        <w:rPr>
          <w:rFonts w:ascii="Times New Roman" w:eastAsia="Times New Roman" w:hAnsi="Times New Roman" w:cs="Times New Roman"/>
          <w:sz w:val="24"/>
          <w:szCs w:val="24"/>
          <w:lang w:val="en-US" w:eastAsia="pt-BR"/>
        </w:rPr>
        <w:t>MP</w:t>
      </w:r>
      <w:r w:rsidR="00150312" w:rsidRPr="008210C1">
        <w:rPr>
          <w:rFonts w:ascii="Times New Roman" w:eastAsia="Times New Roman" w:hAnsi="Times New Roman" w:cs="Times New Roman"/>
          <w:sz w:val="24"/>
          <w:szCs w:val="24"/>
          <w:lang w:val="en-US" w:eastAsia="pt-BR"/>
        </w:rPr>
        <w:t xml:space="preserve"> are fundamental to its own success and, reciprocally, a well conducted </w:t>
      </w:r>
      <w:r w:rsidR="00B86B23" w:rsidRPr="008210C1">
        <w:rPr>
          <w:rFonts w:ascii="Times New Roman" w:eastAsia="Times New Roman" w:hAnsi="Times New Roman" w:cs="Times New Roman"/>
          <w:sz w:val="24"/>
          <w:szCs w:val="24"/>
          <w:lang w:val="en-US" w:eastAsia="pt-BR"/>
        </w:rPr>
        <w:t>MP</w:t>
      </w:r>
      <w:r w:rsidR="00150312" w:rsidRPr="008210C1">
        <w:rPr>
          <w:rFonts w:ascii="Times New Roman" w:eastAsia="Times New Roman" w:hAnsi="Times New Roman" w:cs="Times New Roman"/>
          <w:sz w:val="24"/>
          <w:szCs w:val="24"/>
          <w:lang w:val="en-US" w:eastAsia="pt-BR"/>
        </w:rPr>
        <w:t xml:space="preserve"> is essential to building fine conventions.</w:t>
      </w:r>
    </w:p>
    <w:p w:rsidR="00C0387A" w:rsidRPr="008210C1" w:rsidRDefault="00150312" w:rsidP="008210C1">
      <w:pPr>
        <w:spacing w:after="0" w:line="240" w:lineRule="auto"/>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ab/>
      </w:r>
      <w:r w:rsidR="003C4812" w:rsidRPr="008210C1">
        <w:rPr>
          <w:rFonts w:ascii="Times New Roman" w:eastAsia="Times New Roman" w:hAnsi="Times New Roman" w:cs="Times New Roman"/>
          <w:sz w:val="24"/>
          <w:szCs w:val="24"/>
          <w:lang w:val="en-US" w:eastAsia="pt-BR"/>
        </w:rPr>
        <w:t xml:space="preserve">In terms of </w:t>
      </w:r>
      <w:r w:rsidR="007015E3" w:rsidRPr="008210C1">
        <w:rPr>
          <w:rFonts w:ascii="Times New Roman" w:eastAsia="Times New Roman" w:hAnsi="Times New Roman" w:cs="Times New Roman"/>
          <w:sz w:val="24"/>
          <w:szCs w:val="24"/>
          <w:lang w:val="en-US" w:eastAsia="pt-BR"/>
        </w:rPr>
        <w:t>the</w:t>
      </w:r>
      <w:r w:rsidR="009B6482"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exchange rate policy</w:t>
      </w:r>
      <w:r w:rsidR="00383135" w:rsidRPr="008210C1">
        <w:rPr>
          <w:rFonts w:ascii="Times New Roman" w:eastAsia="Times New Roman" w:hAnsi="Times New Roman" w:cs="Times New Roman"/>
          <w:sz w:val="24"/>
          <w:szCs w:val="24"/>
          <w:lang w:val="en-US" w:eastAsia="pt-BR"/>
        </w:rPr>
        <w:t xml:space="preserve"> (ERP)</w:t>
      </w:r>
      <w:r w:rsidRPr="008210C1">
        <w:rPr>
          <w:rFonts w:ascii="Times New Roman" w:eastAsia="Times New Roman" w:hAnsi="Times New Roman" w:cs="Times New Roman"/>
          <w:sz w:val="24"/>
          <w:szCs w:val="24"/>
          <w:lang w:val="en-US" w:eastAsia="pt-BR"/>
        </w:rPr>
        <w:t>,</w:t>
      </w:r>
      <w:r w:rsidR="00AB1CF8" w:rsidRPr="008210C1">
        <w:rPr>
          <w:rFonts w:ascii="Times New Roman" w:eastAsia="Times New Roman" w:hAnsi="Times New Roman" w:cs="Times New Roman"/>
          <w:sz w:val="24"/>
          <w:szCs w:val="24"/>
          <w:lang w:val="en-US" w:eastAsia="pt-BR"/>
        </w:rPr>
        <w:t xml:space="preserve"> Ferrari-Filho (2006) argues that</w:t>
      </w:r>
      <w:r w:rsidRPr="008210C1">
        <w:rPr>
          <w:rFonts w:ascii="Times New Roman" w:eastAsia="Times New Roman" w:hAnsi="Times New Roman" w:cs="Times New Roman"/>
          <w:sz w:val="24"/>
          <w:szCs w:val="24"/>
          <w:lang w:val="en-US" w:eastAsia="pt-BR"/>
        </w:rPr>
        <w:t xml:space="preserve"> Keynes suggested a </w:t>
      </w:r>
      <w:r w:rsidR="007015E3" w:rsidRPr="008210C1">
        <w:rPr>
          <w:rFonts w:ascii="Times New Roman" w:eastAsia="Times New Roman" w:hAnsi="Times New Roman" w:cs="Times New Roman"/>
          <w:sz w:val="24"/>
          <w:szCs w:val="24"/>
          <w:lang w:val="en-US" w:eastAsia="pt-BR"/>
        </w:rPr>
        <w:t>managed exchange rate</w:t>
      </w:r>
      <w:r w:rsidRPr="008210C1">
        <w:rPr>
          <w:rFonts w:ascii="Times New Roman" w:eastAsia="Times New Roman" w:hAnsi="Times New Roman" w:cs="Times New Roman"/>
          <w:sz w:val="24"/>
          <w:szCs w:val="24"/>
          <w:lang w:val="en-US" w:eastAsia="pt-BR"/>
        </w:rPr>
        <w:t xml:space="preserve"> that </w:t>
      </w:r>
      <w:r w:rsidR="007015E3" w:rsidRPr="008210C1">
        <w:rPr>
          <w:rFonts w:ascii="Times New Roman" w:eastAsia="Times New Roman" w:hAnsi="Times New Roman" w:cs="Times New Roman"/>
          <w:sz w:val="24"/>
          <w:szCs w:val="24"/>
          <w:lang w:val="en-US" w:eastAsia="pt-BR"/>
        </w:rPr>
        <w:t>c</w:t>
      </w:r>
      <w:r w:rsidRPr="008210C1">
        <w:rPr>
          <w:rFonts w:ascii="Times New Roman" w:eastAsia="Times New Roman" w:hAnsi="Times New Roman" w:cs="Times New Roman"/>
          <w:sz w:val="24"/>
          <w:szCs w:val="24"/>
          <w:lang w:val="en-US" w:eastAsia="pt-BR"/>
        </w:rPr>
        <w:t>ould change regarding the circumstances.</w:t>
      </w:r>
      <w:r w:rsidR="00015C3A" w:rsidRPr="008210C1">
        <w:rPr>
          <w:rFonts w:ascii="Times New Roman" w:eastAsia="Times New Roman" w:hAnsi="Times New Roman" w:cs="Times New Roman"/>
          <w:sz w:val="24"/>
          <w:szCs w:val="24"/>
          <w:lang w:val="en-US" w:eastAsia="pt-BR"/>
        </w:rPr>
        <w:t xml:space="preserve"> </w:t>
      </w:r>
      <w:r w:rsidR="0030289B" w:rsidRPr="008210C1">
        <w:rPr>
          <w:rFonts w:ascii="Times New Roman" w:eastAsia="Times New Roman" w:hAnsi="Times New Roman" w:cs="Times New Roman"/>
          <w:sz w:val="24"/>
          <w:szCs w:val="24"/>
          <w:lang w:val="en-US" w:eastAsia="pt-BR"/>
        </w:rPr>
        <w:t>A</w:t>
      </w:r>
      <w:r w:rsidR="00015C3A" w:rsidRPr="008210C1">
        <w:rPr>
          <w:rFonts w:ascii="Times New Roman" w:eastAsia="Times New Roman" w:hAnsi="Times New Roman" w:cs="Times New Roman"/>
          <w:sz w:val="24"/>
          <w:szCs w:val="24"/>
          <w:lang w:val="en-US" w:eastAsia="pt-BR"/>
        </w:rPr>
        <w:t xml:space="preserve"> stable </w:t>
      </w:r>
      <w:r w:rsidR="000B60C7" w:rsidRPr="008210C1">
        <w:rPr>
          <w:rFonts w:ascii="Times New Roman" w:eastAsia="Times New Roman" w:hAnsi="Times New Roman" w:cs="Times New Roman"/>
          <w:sz w:val="24"/>
          <w:szCs w:val="24"/>
          <w:lang w:val="en-US" w:eastAsia="pt-BR"/>
        </w:rPr>
        <w:t>currency</w:t>
      </w:r>
      <w:r w:rsidR="00015C3A" w:rsidRPr="008210C1">
        <w:rPr>
          <w:rFonts w:ascii="Times New Roman" w:eastAsia="Times New Roman" w:hAnsi="Times New Roman" w:cs="Times New Roman"/>
          <w:sz w:val="24"/>
          <w:szCs w:val="24"/>
          <w:lang w:val="en-US" w:eastAsia="pt-BR"/>
        </w:rPr>
        <w:t xml:space="preserve"> bring</w:t>
      </w:r>
      <w:r w:rsidR="00BC6330" w:rsidRPr="008210C1">
        <w:rPr>
          <w:rFonts w:ascii="Times New Roman" w:eastAsia="Times New Roman" w:hAnsi="Times New Roman" w:cs="Times New Roman"/>
          <w:sz w:val="24"/>
          <w:szCs w:val="24"/>
          <w:lang w:val="en-US" w:eastAsia="pt-BR"/>
        </w:rPr>
        <w:t>s</w:t>
      </w:r>
      <w:r w:rsidR="00015C3A" w:rsidRPr="008210C1">
        <w:rPr>
          <w:rFonts w:ascii="Times New Roman" w:eastAsia="Times New Roman" w:hAnsi="Times New Roman" w:cs="Times New Roman"/>
          <w:sz w:val="24"/>
          <w:szCs w:val="24"/>
          <w:lang w:val="en-US" w:eastAsia="pt-BR"/>
        </w:rPr>
        <w:t xml:space="preserve"> at least three benefits: (</w:t>
      </w:r>
      <w:proofErr w:type="spellStart"/>
      <w:r w:rsidR="00015C3A" w:rsidRPr="008210C1">
        <w:rPr>
          <w:rFonts w:ascii="Times New Roman" w:eastAsia="Times New Roman" w:hAnsi="Times New Roman" w:cs="Times New Roman"/>
          <w:sz w:val="24"/>
          <w:szCs w:val="24"/>
          <w:lang w:val="en-US" w:eastAsia="pt-BR"/>
        </w:rPr>
        <w:t>i</w:t>
      </w:r>
      <w:proofErr w:type="spellEnd"/>
      <w:r w:rsidR="00015C3A" w:rsidRPr="008210C1">
        <w:rPr>
          <w:rFonts w:ascii="Times New Roman" w:eastAsia="Times New Roman" w:hAnsi="Times New Roman" w:cs="Times New Roman"/>
          <w:sz w:val="24"/>
          <w:szCs w:val="24"/>
          <w:lang w:val="en-US" w:eastAsia="pt-BR"/>
        </w:rPr>
        <w:t>) permit</w:t>
      </w:r>
      <w:r w:rsidR="00DA4D1F" w:rsidRPr="008210C1">
        <w:rPr>
          <w:rFonts w:ascii="Times New Roman" w:eastAsia="Times New Roman" w:hAnsi="Times New Roman" w:cs="Times New Roman"/>
          <w:sz w:val="24"/>
          <w:szCs w:val="24"/>
          <w:lang w:val="en-US" w:eastAsia="pt-BR"/>
        </w:rPr>
        <w:t>s</w:t>
      </w:r>
      <w:r w:rsidR="00015C3A" w:rsidRPr="008210C1">
        <w:rPr>
          <w:rFonts w:ascii="Times New Roman" w:eastAsia="Times New Roman" w:hAnsi="Times New Roman" w:cs="Times New Roman"/>
          <w:sz w:val="24"/>
          <w:szCs w:val="24"/>
          <w:lang w:val="en-US" w:eastAsia="pt-BR"/>
        </w:rPr>
        <w:t xml:space="preserve"> </w:t>
      </w:r>
      <w:r w:rsidR="00BC6330" w:rsidRPr="008210C1">
        <w:rPr>
          <w:rFonts w:ascii="Times New Roman" w:eastAsia="Times New Roman" w:hAnsi="Times New Roman" w:cs="Times New Roman"/>
          <w:sz w:val="24"/>
          <w:szCs w:val="24"/>
          <w:lang w:val="en-US" w:eastAsia="pt-BR"/>
        </w:rPr>
        <w:t>better estimations of</w:t>
      </w:r>
      <w:r w:rsidR="00015C3A" w:rsidRPr="008210C1">
        <w:rPr>
          <w:rFonts w:ascii="Times New Roman" w:eastAsia="Times New Roman" w:hAnsi="Times New Roman" w:cs="Times New Roman"/>
          <w:sz w:val="24"/>
          <w:szCs w:val="24"/>
          <w:lang w:val="en-US" w:eastAsia="pt-BR"/>
        </w:rPr>
        <w:t xml:space="preserve"> the production costs of imported inputs; (ii) allows business</w:t>
      </w:r>
      <w:r w:rsidR="003C4812" w:rsidRPr="008210C1">
        <w:rPr>
          <w:rFonts w:ascii="Times New Roman" w:eastAsia="Times New Roman" w:hAnsi="Times New Roman" w:cs="Times New Roman"/>
          <w:sz w:val="24"/>
          <w:szCs w:val="24"/>
          <w:lang w:val="en-US" w:eastAsia="pt-BR"/>
        </w:rPr>
        <w:t>-</w:t>
      </w:r>
      <w:r w:rsidR="00015C3A" w:rsidRPr="008210C1">
        <w:rPr>
          <w:rFonts w:ascii="Times New Roman" w:eastAsia="Times New Roman" w:hAnsi="Times New Roman" w:cs="Times New Roman"/>
          <w:sz w:val="24"/>
          <w:szCs w:val="24"/>
          <w:lang w:val="en-US" w:eastAsia="pt-BR"/>
        </w:rPr>
        <w:t>people</w:t>
      </w:r>
      <w:r w:rsidR="003C4812" w:rsidRPr="008210C1">
        <w:rPr>
          <w:rFonts w:ascii="Times New Roman" w:eastAsia="Times New Roman" w:hAnsi="Times New Roman" w:cs="Times New Roman"/>
          <w:sz w:val="24"/>
          <w:szCs w:val="24"/>
          <w:lang w:val="en-US" w:eastAsia="pt-BR"/>
        </w:rPr>
        <w:t>,</w:t>
      </w:r>
      <w:r w:rsidR="00015C3A" w:rsidRPr="008210C1">
        <w:rPr>
          <w:rFonts w:ascii="Times New Roman" w:eastAsia="Times New Roman" w:hAnsi="Times New Roman" w:cs="Times New Roman"/>
          <w:sz w:val="24"/>
          <w:szCs w:val="24"/>
          <w:lang w:val="en-US" w:eastAsia="pt-BR"/>
        </w:rPr>
        <w:t xml:space="preserve"> seeking to sell </w:t>
      </w:r>
      <w:r w:rsidR="00EE4404" w:rsidRPr="008210C1">
        <w:rPr>
          <w:rFonts w:ascii="Times New Roman" w:eastAsia="Times New Roman" w:hAnsi="Times New Roman" w:cs="Times New Roman"/>
          <w:sz w:val="24"/>
          <w:szCs w:val="24"/>
          <w:lang w:val="en-US" w:eastAsia="pt-BR"/>
        </w:rPr>
        <w:t>tradable</w:t>
      </w:r>
      <w:r w:rsidR="00015C3A" w:rsidRPr="008210C1">
        <w:rPr>
          <w:rFonts w:ascii="Times New Roman" w:eastAsia="Times New Roman" w:hAnsi="Times New Roman" w:cs="Times New Roman"/>
          <w:sz w:val="24"/>
          <w:szCs w:val="24"/>
          <w:lang w:val="en-US" w:eastAsia="pt-BR"/>
        </w:rPr>
        <w:t xml:space="preserve"> goods to external or internal markets</w:t>
      </w:r>
      <w:r w:rsidR="003C4812" w:rsidRPr="008210C1">
        <w:rPr>
          <w:rFonts w:ascii="Times New Roman" w:eastAsia="Times New Roman" w:hAnsi="Times New Roman" w:cs="Times New Roman"/>
          <w:sz w:val="24"/>
          <w:szCs w:val="24"/>
          <w:lang w:val="en-US" w:eastAsia="pt-BR"/>
        </w:rPr>
        <w:t xml:space="preserve">, to </w:t>
      </w:r>
      <w:r w:rsidR="00015C3A" w:rsidRPr="008210C1">
        <w:rPr>
          <w:rFonts w:ascii="Times New Roman" w:eastAsia="Times New Roman" w:hAnsi="Times New Roman" w:cs="Times New Roman"/>
          <w:sz w:val="24"/>
          <w:szCs w:val="24"/>
          <w:lang w:val="en-US" w:eastAsia="pt-BR"/>
        </w:rPr>
        <w:t xml:space="preserve">improve their </w:t>
      </w:r>
      <w:r w:rsidR="00DA4D1F" w:rsidRPr="008210C1">
        <w:rPr>
          <w:rFonts w:ascii="Times New Roman" w:eastAsia="Times New Roman" w:hAnsi="Times New Roman" w:cs="Times New Roman"/>
          <w:sz w:val="24"/>
          <w:szCs w:val="24"/>
          <w:lang w:val="en-US" w:eastAsia="pt-BR"/>
        </w:rPr>
        <w:t xml:space="preserve">revenue </w:t>
      </w:r>
      <w:r w:rsidR="00015C3A" w:rsidRPr="008210C1">
        <w:rPr>
          <w:rFonts w:ascii="Times New Roman" w:eastAsia="Times New Roman" w:hAnsi="Times New Roman" w:cs="Times New Roman"/>
          <w:sz w:val="24"/>
          <w:szCs w:val="24"/>
          <w:lang w:val="en-US" w:eastAsia="pt-BR"/>
        </w:rPr>
        <w:t xml:space="preserve">calculus; (iii) </w:t>
      </w:r>
      <w:r w:rsidR="00BC6330" w:rsidRPr="008210C1">
        <w:rPr>
          <w:rFonts w:ascii="Times New Roman" w:eastAsia="Times New Roman" w:hAnsi="Times New Roman" w:cs="Times New Roman"/>
          <w:sz w:val="24"/>
          <w:szCs w:val="24"/>
          <w:lang w:val="en-US" w:eastAsia="pt-BR"/>
        </w:rPr>
        <w:t>stabilize</w:t>
      </w:r>
      <w:r w:rsidR="00DA4D1F" w:rsidRPr="008210C1">
        <w:rPr>
          <w:rFonts w:ascii="Times New Roman" w:eastAsia="Times New Roman" w:hAnsi="Times New Roman" w:cs="Times New Roman"/>
          <w:sz w:val="24"/>
          <w:szCs w:val="24"/>
          <w:lang w:val="en-US" w:eastAsia="pt-BR"/>
        </w:rPr>
        <w:t>s</w:t>
      </w:r>
      <w:r w:rsidR="00BC6330" w:rsidRPr="008210C1">
        <w:rPr>
          <w:rFonts w:ascii="Times New Roman" w:eastAsia="Times New Roman" w:hAnsi="Times New Roman" w:cs="Times New Roman"/>
          <w:sz w:val="24"/>
          <w:szCs w:val="24"/>
          <w:lang w:val="en-US" w:eastAsia="pt-BR"/>
        </w:rPr>
        <w:t xml:space="preserve"> the</w:t>
      </w:r>
      <w:r w:rsidR="00015C3A" w:rsidRPr="008210C1">
        <w:rPr>
          <w:rFonts w:ascii="Times New Roman" w:eastAsia="Times New Roman" w:hAnsi="Times New Roman" w:cs="Times New Roman"/>
          <w:sz w:val="24"/>
          <w:szCs w:val="24"/>
          <w:lang w:val="en-US" w:eastAsia="pt-BR"/>
        </w:rPr>
        <w:t xml:space="preserve"> real wage in foreign money, enabling finer assess</w:t>
      </w:r>
      <w:r w:rsidR="00DA4D1F" w:rsidRPr="008210C1">
        <w:rPr>
          <w:rFonts w:ascii="Times New Roman" w:eastAsia="Times New Roman" w:hAnsi="Times New Roman" w:cs="Times New Roman"/>
          <w:sz w:val="24"/>
          <w:szCs w:val="24"/>
          <w:lang w:val="en-US" w:eastAsia="pt-BR"/>
        </w:rPr>
        <w:t>ment of</w:t>
      </w:r>
      <w:r w:rsidR="00015C3A" w:rsidRPr="008210C1">
        <w:rPr>
          <w:rFonts w:ascii="Times New Roman" w:eastAsia="Times New Roman" w:hAnsi="Times New Roman" w:cs="Times New Roman"/>
          <w:sz w:val="24"/>
          <w:szCs w:val="24"/>
          <w:lang w:val="en-US" w:eastAsia="pt-BR"/>
        </w:rPr>
        <w:t xml:space="preserve"> the </w:t>
      </w:r>
      <w:r w:rsidR="00DA4D1F" w:rsidRPr="008210C1">
        <w:rPr>
          <w:rFonts w:ascii="Times New Roman" w:eastAsia="Times New Roman" w:hAnsi="Times New Roman" w:cs="Times New Roman"/>
          <w:sz w:val="24"/>
          <w:szCs w:val="24"/>
          <w:lang w:val="en-US" w:eastAsia="pt-BR"/>
        </w:rPr>
        <w:t>domestic demand</w:t>
      </w:r>
      <w:r w:rsidR="00015C3A" w:rsidRPr="008210C1">
        <w:rPr>
          <w:rFonts w:ascii="Times New Roman" w:eastAsia="Times New Roman" w:hAnsi="Times New Roman" w:cs="Times New Roman"/>
          <w:sz w:val="24"/>
          <w:szCs w:val="24"/>
          <w:lang w:val="en-US" w:eastAsia="pt-BR"/>
        </w:rPr>
        <w:t>. Thus, a managed exchange rate pursues stability</w:t>
      </w:r>
      <w:r w:rsidR="00E52FFE" w:rsidRPr="008210C1">
        <w:rPr>
          <w:rFonts w:ascii="Times New Roman" w:eastAsia="Times New Roman" w:hAnsi="Times New Roman" w:cs="Times New Roman"/>
          <w:sz w:val="24"/>
          <w:szCs w:val="24"/>
          <w:lang w:val="en-US" w:eastAsia="pt-BR"/>
        </w:rPr>
        <w:t xml:space="preserve"> and </w:t>
      </w:r>
      <w:r w:rsidR="00015C3A" w:rsidRPr="008210C1">
        <w:rPr>
          <w:rFonts w:ascii="Times New Roman" w:eastAsia="Times New Roman" w:hAnsi="Times New Roman" w:cs="Times New Roman"/>
          <w:sz w:val="24"/>
          <w:szCs w:val="24"/>
          <w:lang w:val="en-US" w:eastAsia="pt-BR"/>
        </w:rPr>
        <w:t xml:space="preserve">furnishes predictability to </w:t>
      </w:r>
      <w:r w:rsidR="00296E02" w:rsidRPr="008210C1">
        <w:rPr>
          <w:rFonts w:ascii="Times New Roman" w:eastAsia="Times New Roman" w:hAnsi="Times New Roman" w:cs="Times New Roman"/>
          <w:sz w:val="24"/>
          <w:szCs w:val="24"/>
          <w:lang w:val="en-US" w:eastAsia="pt-BR"/>
        </w:rPr>
        <w:t>entrepreneurs</w:t>
      </w:r>
      <w:r w:rsidR="00015C3A" w:rsidRPr="008210C1">
        <w:rPr>
          <w:rFonts w:ascii="Times New Roman" w:eastAsia="Times New Roman" w:hAnsi="Times New Roman" w:cs="Times New Roman"/>
          <w:sz w:val="24"/>
          <w:szCs w:val="24"/>
          <w:lang w:val="en-US" w:eastAsia="pt-BR"/>
        </w:rPr>
        <w:t xml:space="preserve"> </w:t>
      </w:r>
      <w:r w:rsidR="0030289B" w:rsidRPr="008210C1">
        <w:rPr>
          <w:rFonts w:ascii="Times New Roman" w:eastAsia="Times New Roman" w:hAnsi="Times New Roman" w:cs="Times New Roman"/>
          <w:sz w:val="24"/>
          <w:szCs w:val="24"/>
          <w:lang w:val="en-US" w:eastAsia="pt-BR"/>
        </w:rPr>
        <w:t>(</w:t>
      </w:r>
      <w:proofErr w:type="spellStart"/>
      <w:r w:rsidR="0030289B" w:rsidRPr="008210C1">
        <w:rPr>
          <w:rFonts w:ascii="Times New Roman" w:eastAsia="Times New Roman" w:hAnsi="Times New Roman" w:cs="Times New Roman"/>
          <w:sz w:val="24"/>
          <w:szCs w:val="24"/>
          <w:lang w:val="en-US" w:eastAsia="pt-BR"/>
        </w:rPr>
        <w:t>Arestis</w:t>
      </w:r>
      <w:proofErr w:type="spellEnd"/>
      <w:r w:rsidR="0030289B" w:rsidRPr="008210C1">
        <w:rPr>
          <w:rFonts w:ascii="Times New Roman" w:eastAsia="Times New Roman" w:hAnsi="Times New Roman" w:cs="Times New Roman"/>
          <w:sz w:val="24"/>
          <w:szCs w:val="24"/>
          <w:lang w:val="en-US" w:eastAsia="pt-BR"/>
        </w:rPr>
        <w:t xml:space="preserve"> et al</w:t>
      </w:r>
      <w:r w:rsidR="003C4812" w:rsidRPr="008210C1">
        <w:rPr>
          <w:rFonts w:ascii="Times New Roman" w:eastAsia="Times New Roman" w:hAnsi="Times New Roman" w:cs="Times New Roman"/>
          <w:sz w:val="24"/>
          <w:szCs w:val="24"/>
          <w:lang w:val="en-US" w:eastAsia="pt-BR"/>
        </w:rPr>
        <w:t>.</w:t>
      </w:r>
      <w:r w:rsidR="0030289B" w:rsidRPr="008210C1">
        <w:rPr>
          <w:rFonts w:ascii="Times New Roman" w:eastAsia="Times New Roman" w:hAnsi="Times New Roman" w:cs="Times New Roman"/>
          <w:sz w:val="24"/>
          <w:szCs w:val="24"/>
          <w:lang w:val="en-US" w:eastAsia="pt-BR"/>
        </w:rPr>
        <w:t>, 2016).</w:t>
      </w:r>
    </w:p>
    <w:p w:rsidR="00150312" w:rsidRPr="008210C1" w:rsidRDefault="00CB629F" w:rsidP="008210C1">
      <w:pPr>
        <w:spacing w:after="0" w:line="240" w:lineRule="auto"/>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ab/>
        <w:t>However, exchange rates are not easily managed.</w:t>
      </w:r>
      <w:r w:rsidR="00296E02" w:rsidRPr="008210C1">
        <w:rPr>
          <w:rFonts w:ascii="Times New Roman" w:eastAsia="Times New Roman" w:hAnsi="Times New Roman" w:cs="Times New Roman"/>
          <w:sz w:val="24"/>
          <w:szCs w:val="24"/>
          <w:lang w:val="en-US" w:eastAsia="pt-BR"/>
        </w:rPr>
        <w:t xml:space="preserve"> On that,</w:t>
      </w:r>
      <w:r w:rsidRPr="008210C1">
        <w:rPr>
          <w:rFonts w:ascii="Times New Roman" w:eastAsia="Times New Roman" w:hAnsi="Times New Roman" w:cs="Times New Roman"/>
          <w:sz w:val="24"/>
          <w:szCs w:val="24"/>
          <w:lang w:val="en-US" w:eastAsia="pt-BR"/>
        </w:rPr>
        <w:t xml:space="preserve"> Keynes</w:t>
      </w:r>
      <w:r w:rsidR="00B67D7C" w:rsidRPr="008210C1">
        <w:rPr>
          <w:rFonts w:ascii="Times New Roman" w:eastAsia="Times New Roman" w:hAnsi="Times New Roman" w:cs="Times New Roman"/>
          <w:sz w:val="24"/>
          <w:szCs w:val="24"/>
          <w:lang w:val="en-US" w:eastAsia="pt-BR"/>
        </w:rPr>
        <w:t xml:space="preserve"> (1980b)</w:t>
      </w:r>
      <w:r w:rsidRPr="008210C1">
        <w:rPr>
          <w:rFonts w:ascii="Times New Roman" w:eastAsia="Times New Roman" w:hAnsi="Times New Roman" w:cs="Times New Roman"/>
          <w:sz w:val="24"/>
          <w:szCs w:val="24"/>
          <w:lang w:val="en-US" w:eastAsia="pt-BR"/>
        </w:rPr>
        <w:t xml:space="preserve"> had two </w:t>
      </w:r>
      <w:r w:rsidR="00BC6330" w:rsidRPr="008210C1">
        <w:rPr>
          <w:rFonts w:ascii="Times New Roman" w:eastAsia="Times New Roman" w:hAnsi="Times New Roman" w:cs="Times New Roman"/>
          <w:sz w:val="24"/>
          <w:szCs w:val="24"/>
          <w:lang w:val="en-US" w:eastAsia="pt-BR"/>
        </w:rPr>
        <w:t>concerns</w:t>
      </w:r>
      <w:r w:rsidR="003C4812" w:rsidRPr="008210C1">
        <w:rPr>
          <w:rFonts w:ascii="Times New Roman" w:eastAsia="Times New Roman" w:hAnsi="Times New Roman" w:cs="Times New Roman"/>
          <w:sz w:val="24"/>
          <w:szCs w:val="24"/>
          <w:lang w:val="en-US" w:eastAsia="pt-BR"/>
        </w:rPr>
        <w:t>: f</w:t>
      </w:r>
      <w:r w:rsidRPr="008210C1">
        <w:rPr>
          <w:rFonts w:ascii="Times New Roman" w:eastAsia="Times New Roman" w:hAnsi="Times New Roman" w:cs="Times New Roman"/>
          <w:sz w:val="24"/>
          <w:szCs w:val="24"/>
          <w:lang w:val="en-US" w:eastAsia="pt-BR"/>
        </w:rPr>
        <w:t>irst</w:t>
      </w:r>
      <w:r w:rsidR="000328E8" w:rsidRPr="008210C1">
        <w:rPr>
          <w:rFonts w:ascii="Times New Roman" w:eastAsia="Times New Roman" w:hAnsi="Times New Roman" w:cs="Times New Roman"/>
          <w:sz w:val="24"/>
          <w:szCs w:val="24"/>
          <w:lang w:val="en-US" w:eastAsia="pt-BR"/>
        </w:rPr>
        <w:t>,</w:t>
      </w:r>
      <w:r w:rsidR="00432C67" w:rsidRPr="008210C1">
        <w:rPr>
          <w:rFonts w:ascii="Times New Roman" w:eastAsia="Times New Roman" w:hAnsi="Times New Roman" w:cs="Times New Roman"/>
          <w:sz w:val="24"/>
          <w:szCs w:val="24"/>
          <w:lang w:val="en-US" w:eastAsia="pt-BR"/>
        </w:rPr>
        <w:t xml:space="preserve"> the </w:t>
      </w:r>
      <w:r w:rsidR="00B86B23" w:rsidRPr="008210C1">
        <w:rPr>
          <w:rFonts w:ascii="Times New Roman" w:eastAsia="Times New Roman" w:hAnsi="Times New Roman" w:cs="Times New Roman"/>
          <w:sz w:val="24"/>
          <w:szCs w:val="24"/>
          <w:lang w:val="en-US" w:eastAsia="pt-BR"/>
        </w:rPr>
        <w:t>ERP</w:t>
      </w:r>
      <w:r w:rsidR="00432C67" w:rsidRPr="008210C1">
        <w:rPr>
          <w:rFonts w:ascii="Times New Roman" w:eastAsia="Times New Roman" w:hAnsi="Times New Roman" w:cs="Times New Roman"/>
          <w:sz w:val="24"/>
          <w:szCs w:val="24"/>
          <w:lang w:val="en-US" w:eastAsia="pt-BR"/>
        </w:rPr>
        <w:t xml:space="preserve"> should not kidnap</w:t>
      </w:r>
      <w:r w:rsidRPr="008210C1">
        <w:rPr>
          <w:rFonts w:ascii="Times New Roman" w:eastAsia="Times New Roman" w:hAnsi="Times New Roman" w:cs="Times New Roman"/>
          <w:sz w:val="24"/>
          <w:szCs w:val="24"/>
          <w:lang w:val="en-US" w:eastAsia="pt-BR"/>
        </w:rPr>
        <w:t xml:space="preserve"> the CB interest rate, what would </w:t>
      </w:r>
      <w:r w:rsidR="000328E8" w:rsidRPr="008210C1">
        <w:rPr>
          <w:rFonts w:ascii="Times New Roman" w:eastAsia="Times New Roman" w:hAnsi="Times New Roman" w:cs="Times New Roman"/>
          <w:sz w:val="24"/>
          <w:szCs w:val="24"/>
          <w:lang w:val="en-US" w:eastAsia="pt-BR"/>
        </w:rPr>
        <w:t>happen</w:t>
      </w:r>
      <w:r w:rsidRPr="008210C1">
        <w:rPr>
          <w:rFonts w:ascii="Times New Roman" w:eastAsia="Times New Roman" w:hAnsi="Times New Roman" w:cs="Times New Roman"/>
          <w:sz w:val="24"/>
          <w:szCs w:val="24"/>
          <w:lang w:val="en-US" w:eastAsia="pt-BR"/>
        </w:rPr>
        <w:t xml:space="preserve"> if the </w:t>
      </w:r>
      <w:r w:rsidR="000328E8" w:rsidRPr="008210C1">
        <w:rPr>
          <w:rFonts w:ascii="Times New Roman" w:eastAsia="Times New Roman" w:hAnsi="Times New Roman" w:cs="Times New Roman"/>
          <w:sz w:val="24"/>
          <w:szCs w:val="24"/>
          <w:lang w:val="en-US" w:eastAsia="pt-BR"/>
        </w:rPr>
        <w:t xml:space="preserve">exchange rate </w:t>
      </w:r>
      <w:r w:rsidRPr="008210C1">
        <w:rPr>
          <w:rFonts w:ascii="Times New Roman" w:eastAsia="Times New Roman" w:hAnsi="Times New Roman" w:cs="Times New Roman"/>
          <w:sz w:val="24"/>
          <w:szCs w:val="24"/>
          <w:lang w:val="en-US" w:eastAsia="pt-BR"/>
        </w:rPr>
        <w:t xml:space="preserve">management </w:t>
      </w:r>
      <w:r w:rsidR="00BC6330" w:rsidRPr="008210C1">
        <w:rPr>
          <w:rFonts w:ascii="Times New Roman" w:eastAsia="Times New Roman" w:hAnsi="Times New Roman" w:cs="Times New Roman"/>
          <w:sz w:val="24"/>
          <w:szCs w:val="24"/>
          <w:lang w:val="en-US" w:eastAsia="pt-BR"/>
        </w:rPr>
        <w:t>uses</w:t>
      </w:r>
      <w:r w:rsidR="000328E8" w:rsidRPr="008210C1">
        <w:rPr>
          <w:rFonts w:ascii="Times New Roman" w:eastAsia="Times New Roman" w:hAnsi="Times New Roman" w:cs="Times New Roman"/>
          <w:sz w:val="24"/>
          <w:szCs w:val="24"/>
          <w:lang w:val="en-US" w:eastAsia="pt-BR"/>
        </w:rPr>
        <w:t xml:space="preserve"> the interest rate to attract</w:t>
      </w:r>
      <w:r w:rsidR="00CA5E2C" w:rsidRPr="008210C1">
        <w:rPr>
          <w:rFonts w:ascii="Times New Roman" w:eastAsia="Times New Roman" w:hAnsi="Times New Roman" w:cs="Times New Roman"/>
          <w:sz w:val="24"/>
          <w:szCs w:val="24"/>
          <w:lang w:val="en-US" w:eastAsia="pt-BR"/>
        </w:rPr>
        <w:t xml:space="preserve"> foreign </w:t>
      </w:r>
      <w:r w:rsidR="001404DB" w:rsidRPr="008210C1">
        <w:rPr>
          <w:rFonts w:ascii="Times New Roman" w:eastAsia="Times New Roman" w:hAnsi="Times New Roman" w:cs="Times New Roman"/>
          <w:sz w:val="24"/>
          <w:szCs w:val="24"/>
          <w:lang w:val="en-US" w:eastAsia="pt-BR"/>
        </w:rPr>
        <w:t>financial capital</w:t>
      </w:r>
      <w:r w:rsidRPr="008210C1">
        <w:rPr>
          <w:rFonts w:ascii="Times New Roman" w:eastAsia="Times New Roman" w:hAnsi="Times New Roman" w:cs="Times New Roman"/>
          <w:sz w:val="24"/>
          <w:szCs w:val="24"/>
          <w:lang w:val="en-US" w:eastAsia="pt-BR"/>
        </w:rPr>
        <w:t xml:space="preserve">. </w:t>
      </w:r>
      <w:r w:rsidR="00890519" w:rsidRPr="008210C1">
        <w:rPr>
          <w:rFonts w:ascii="Times New Roman" w:eastAsia="Times New Roman" w:hAnsi="Times New Roman" w:cs="Times New Roman"/>
          <w:sz w:val="24"/>
          <w:szCs w:val="24"/>
          <w:lang w:val="en-US" w:eastAsia="pt-BR"/>
        </w:rPr>
        <w:t>If so</w:t>
      </w:r>
      <w:r w:rsidRPr="008210C1">
        <w:rPr>
          <w:rFonts w:ascii="Times New Roman" w:eastAsia="Times New Roman" w:hAnsi="Times New Roman" w:cs="Times New Roman"/>
          <w:sz w:val="24"/>
          <w:szCs w:val="24"/>
          <w:lang w:val="en-US" w:eastAsia="pt-BR"/>
        </w:rPr>
        <w:t>, the</w:t>
      </w:r>
      <w:r w:rsidR="00BB2A48" w:rsidRPr="008210C1">
        <w:rPr>
          <w:rFonts w:ascii="Times New Roman" w:eastAsia="Times New Roman" w:hAnsi="Times New Roman" w:cs="Times New Roman"/>
          <w:sz w:val="24"/>
          <w:szCs w:val="24"/>
          <w:lang w:val="en-US" w:eastAsia="pt-BR"/>
        </w:rPr>
        <w:t xml:space="preserve"> </w:t>
      </w:r>
      <w:r w:rsidR="00890519" w:rsidRPr="008210C1">
        <w:rPr>
          <w:rFonts w:ascii="Times New Roman" w:eastAsia="Times New Roman" w:hAnsi="Times New Roman" w:cs="Times New Roman"/>
          <w:sz w:val="24"/>
          <w:szCs w:val="24"/>
          <w:lang w:val="en-US" w:eastAsia="pt-BR"/>
        </w:rPr>
        <w:t xml:space="preserve">interest rate </w:t>
      </w:r>
      <w:r w:rsidRPr="008210C1">
        <w:rPr>
          <w:rFonts w:ascii="Times New Roman" w:eastAsia="Times New Roman" w:hAnsi="Times New Roman" w:cs="Times New Roman"/>
          <w:sz w:val="24"/>
          <w:szCs w:val="24"/>
          <w:lang w:val="en-US" w:eastAsia="pt-BR"/>
        </w:rPr>
        <w:t>volatility tends to rise</w:t>
      </w:r>
      <w:r w:rsidR="00E8326E"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leading to a higher opportunity cost to productive investment</w:t>
      </w:r>
      <w:r w:rsidR="00E8326E" w:rsidRPr="008210C1">
        <w:rPr>
          <w:rFonts w:ascii="Times New Roman" w:eastAsia="Times New Roman" w:hAnsi="Times New Roman" w:cs="Times New Roman"/>
          <w:sz w:val="24"/>
          <w:szCs w:val="24"/>
          <w:lang w:val="en-US" w:eastAsia="pt-BR"/>
        </w:rPr>
        <w:t>.</w:t>
      </w:r>
      <w:r w:rsidR="00BC6330" w:rsidRPr="008210C1">
        <w:rPr>
          <w:rFonts w:ascii="Times New Roman" w:eastAsia="Times New Roman" w:hAnsi="Times New Roman" w:cs="Times New Roman"/>
          <w:sz w:val="24"/>
          <w:szCs w:val="24"/>
          <w:lang w:val="en-US" w:eastAsia="pt-BR"/>
        </w:rPr>
        <w:t xml:space="preserve"> </w:t>
      </w:r>
      <w:r w:rsidR="00E8326E" w:rsidRPr="008210C1">
        <w:rPr>
          <w:rFonts w:ascii="Times New Roman" w:eastAsia="Times New Roman" w:hAnsi="Times New Roman" w:cs="Times New Roman"/>
          <w:sz w:val="24"/>
          <w:szCs w:val="24"/>
          <w:lang w:val="en-US" w:eastAsia="pt-BR"/>
        </w:rPr>
        <w:t xml:space="preserve">The second concern </w:t>
      </w:r>
      <w:r w:rsidR="00BC6330" w:rsidRPr="008210C1">
        <w:rPr>
          <w:rFonts w:ascii="Times New Roman" w:eastAsia="Times New Roman" w:hAnsi="Times New Roman" w:cs="Times New Roman"/>
          <w:sz w:val="24"/>
          <w:szCs w:val="24"/>
          <w:lang w:val="en-US" w:eastAsia="pt-BR"/>
        </w:rPr>
        <w:t>deals</w:t>
      </w:r>
      <w:r w:rsidR="00E8326E" w:rsidRPr="008210C1">
        <w:rPr>
          <w:rFonts w:ascii="Times New Roman" w:eastAsia="Times New Roman" w:hAnsi="Times New Roman" w:cs="Times New Roman"/>
          <w:sz w:val="24"/>
          <w:szCs w:val="24"/>
          <w:lang w:val="en-US" w:eastAsia="pt-BR"/>
        </w:rPr>
        <w:t xml:space="preserve"> with</w:t>
      </w:r>
      <w:r w:rsidR="00227518" w:rsidRPr="008210C1">
        <w:rPr>
          <w:rFonts w:ascii="Times New Roman" w:eastAsia="Times New Roman" w:hAnsi="Times New Roman" w:cs="Times New Roman"/>
          <w:sz w:val="24"/>
          <w:szCs w:val="24"/>
          <w:lang w:val="en-US" w:eastAsia="pt-BR"/>
        </w:rPr>
        <w:t xml:space="preserve"> </w:t>
      </w:r>
      <w:r w:rsidR="00E8326E" w:rsidRPr="008210C1">
        <w:rPr>
          <w:rFonts w:ascii="Times New Roman" w:eastAsia="Times New Roman" w:hAnsi="Times New Roman" w:cs="Times New Roman"/>
          <w:sz w:val="24"/>
          <w:szCs w:val="24"/>
          <w:lang w:val="en-US" w:eastAsia="pt-BR"/>
        </w:rPr>
        <w:t xml:space="preserve">the autonomy </w:t>
      </w:r>
      <w:r w:rsidR="00495734" w:rsidRPr="008210C1">
        <w:rPr>
          <w:rFonts w:ascii="Times New Roman" w:eastAsia="Times New Roman" w:hAnsi="Times New Roman" w:cs="Times New Roman"/>
          <w:sz w:val="24"/>
          <w:szCs w:val="24"/>
          <w:lang w:val="en-US" w:eastAsia="pt-BR"/>
        </w:rPr>
        <w:t>of</w:t>
      </w:r>
      <w:r w:rsidR="00E8326E" w:rsidRPr="008210C1">
        <w:rPr>
          <w:rFonts w:ascii="Times New Roman" w:eastAsia="Times New Roman" w:hAnsi="Times New Roman" w:cs="Times New Roman"/>
          <w:sz w:val="24"/>
          <w:szCs w:val="24"/>
          <w:lang w:val="en-US" w:eastAsia="pt-BR"/>
        </w:rPr>
        <w:t xml:space="preserve"> the CB interest rate given by capital controls over capital</w:t>
      </w:r>
      <w:r w:rsidR="000C433B" w:rsidRPr="008210C1">
        <w:rPr>
          <w:rFonts w:ascii="Times New Roman" w:eastAsia="Times New Roman" w:hAnsi="Times New Roman" w:cs="Times New Roman"/>
          <w:sz w:val="24"/>
          <w:szCs w:val="24"/>
          <w:lang w:val="en-US" w:eastAsia="pt-BR"/>
        </w:rPr>
        <w:t xml:space="preserve"> flows</w:t>
      </w:r>
      <w:r w:rsidR="00E8326E" w:rsidRPr="008210C1">
        <w:rPr>
          <w:rFonts w:ascii="Times New Roman" w:eastAsia="Times New Roman" w:hAnsi="Times New Roman" w:cs="Times New Roman"/>
          <w:sz w:val="24"/>
          <w:szCs w:val="24"/>
          <w:lang w:val="en-US" w:eastAsia="pt-BR"/>
        </w:rPr>
        <w:t>.</w:t>
      </w:r>
      <w:r w:rsidR="00B67D7C" w:rsidRPr="008210C1">
        <w:rPr>
          <w:rFonts w:ascii="Times New Roman" w:eastAsia="Times New Roman" w:hAnsi="Times New Roman" w:cs="Times New Roman"/>
          <w:sz w:val="24"/>
          <w:szCs w:val="24"/>
          <w:lang w:val="en-US" w:eastAsia="pt-BR"/>
        </w:rPr>
        <w:t xml:space="preserve"> Without</w:t>
      </w:r>
      <w:r w:rsidR="00E8326E" w:rsidRPr="008210C1">
        <w:rPr>
          <w:rFonts w:ascii="Times New Roman" w:eastAsia="Times New Roman" w:hAnsi="Times New Roman" w:cs="Times New Roman"/>
          <w:sz w:val="24"/>
          <w:szCs w:val="24"/>
          <w:lang w:val="en-US" w:eastAsia="pt-BR"/>
        </w:rPr>
        <w:t xml:space="preserve"> capital controls, the </w:t>
      </w:r>
      <w:r w:rsidR="000C433B" w:rsidRPr="008210C1">
        <w:rPr>
          <w:rFonts w:ascii="Times New Roman" w:eastAsia="Times New Roman" w:hAnsi="Times New Roman" w:cs="Times New Roman"/>
          <w:sz w:val="24"/>
          <w:szCs w:val="24"/>
          <w:lang w:val="en-US" w:eastAsia="pt-BR"/>
        </w:rPr>
        <w:t>manag</w:t>
      </w:r>
      <w:r w:rsidR="006D70BD" w:rsidRPr="008210C1">
        <w:rPr>
          <w:rFonts w:ascii="Times New Roman" w:eastAsia="Times New Roman" w:hAnsi="Times New Roman" w:cs="Times New Roman"/>
          <w:sz w:val="24"/>
          <w:szCs w:val="24"/>
          <w:lang w:val="en-US" w:eastAsia="pt-BR"/>
        </w:rPr>
        <w:t>ement</w:t>
      </w:r>
      <w:r w:rsidR="00E8326E" w:rsidRPr="008210C1">
        <w:rPr>
          <w:rFonts w:ascii="Times New Roman" w:eastAsia="Times New Roman" w:hAnsi="Times New Roman" w:cs="Times New Roman"/>
          <w:sz w:val="24"/>
          <w:szCs w:val="24"/>
          <w:lang w:val="en-US" w:eastAsia="pt-BR"/>
        </w:rPr>
        <w:t xml:space="preserve"> the exchange rate solely rel</w:t>
      </w:r>
      <w:r w:rsidR="00A760C1" w:rsidRPr="008210C1">
        <w:rPr>
          <w:rFonts w:ascii="Times New Roman" w:eastAsia="Times New Roman" w:hAnsi="Times New Roman" w:cs="Times New Roman"/>
          <w:sz w:val="24"/>
          <w:szCs w:val="24"/>
          <w:lang w:val="en-US" w:eastAsia="pt-BR"/>
        </w:rPr>
        <w:t>ies</w:t>
      </w:r>
      <w:r w:rsidR="00E8326E" w:rsidRPr="008210C1">
        <w:rPr>
          <w:rFonts w:ascii="Times New Roman" w:eastAsia="Times New Roman" w:hAnsi="Times New Roman" w:cs="Times New Roman"/>
          <w:sz w:val="24"/>
          <w:szCs w:val="24"/>
          <w:lang w:val="en-US" w:eastAsia="pt-BR"/>
        </w:rPr>
        <w:t xml:space="preserve"> on the interest rate, elevating its level and making it more volatile.</w:t>
      </w:r>
    </w:p>
    <w:p w:rsidR="0021133F" w:rsidRPr="008210C1" w:rsidRDefault="00E8326E" w:rsidP="008210C1">
      <w:pPr>
        <w:spacing w:after="0" w:line="240" w:lineRule="auto"/>
        <w:ind w:firstLine="708"/>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lastRenderedPageBreak/>
        <w:t xml:space="preserve">The </w:t>
      </w:r>
      <w:r w:rsidR="00AB0981" w:rsidRPr="008210C1">
        <w:rPr>
          <w:rFonts w:ascii="Times New Roman" w:eastAsia="Times New Roman" w:hAnsi="Times New Roman" w:cs="Times New Roman"/>
          <w:sz w:val="24"/>
          <w:szCs w:val="24"/>
          <w:lang w:val="en-US" w:eastAsia="pt-BR"/>
        </w:rPr>
        <w:t>e</w:t>
      </w:r>
      <w:r w:rsidRPr="008210C1">
        <w:rPr>
          <w:rFonts w:ascii="Times New Roman" w:eastAsia="Times New Roman" w:hAnsi="Times New Roman" w:cs="Times New Roman"/>
          <w:sz w:val="24"/>
          <w:szCs w:val="24"/>
          <w:lang w:val="en-US" w:eastAsia="pt-BR"/>
        </w:rPr>
        <w:t xml:space="preserve">xchange rate </w:t>
      </w:r>
      <w:r w:rsidR="00AB0981" w:rsidRPr="008210C1">
        <w:rPr>
          <w:rFonts w:ascii="Times New Roman" w:eastAsia="Times New Roman" w:hAnsi="Times New Roman" w:cs="Times New Roman"/>
          <w:sz w:val="24"/>
          <w:szCs w:val="24"/>
          <w:lang w:val="en-US" w:eastAsia="pt-BR"/>
        </w:rPr>
        <w:t xml:space="preserve">stability </w:t>
      </w:r>
      <w:r w:rsidRPr="008210C1">
        <w:rPr>
          <w:rFonts w:ascii="Times New Roman" w:eastAsia="Times New Roman" w:hAnsi="Times New Roman" w:cs="Times New Roman"/>
          <w:sz w:val="24"/>
          <w:szCs w:val="24"/>
          <w:lang w:val="en-US" w:eastAsia="pt-BR"/>
        </w:rPr>
        <w:t xml:space="preserve">is also a </w:t>
      </w:r>
      <w:r w:rsidR="006D70BD" w:rsidRPr="008210C1">
        <w:rPr>
          <w:rFonts w:ascii="Times New Roman" w:eastAsia="Times New Roman" w:hAnsi="Times New Roman" w:cs="Times New Roman"/>
          <w:sz w:val="24"/>
          <w:szCs w:val="24"/>
          <w:lang w:val="en-US" w:eastAsia="pt-BR"/>
        </w:rPr>
        <w:t xml:space="preserve">MP’s </w:t>
      </w:r>
      <w:r w:rsidRPr="008210C1">
        <w:rPr>
          <w:rFonts w:ascii="Times New Roman" w:eastAsia="Times New Roman" w:hAnsi="Times New Roman" w:cs="Times New Roman"/>
          <w:sz w:val="24"/>
          <w:szCs w:val="24"/>
          <w:lang w:val="en-US" w:eastAsia="pt-BR"/>
        </w:rPr>
        <w:t>goal</w:t>
      </w:r>
      <w:r w:rsidR="006D70BD" w:rsidRPr="008210C1">
        <w:rPr>
          <w:rFonts w:ascii="Times New Roman" w:eastAsia="Times New Roman" w:hAnsi="Times New Roman" w:cs="Times New Roman"/>
          <w:sz w:val="24"/>
          <w:szCs w:val="24"/>
          <w:lang w:val="en-US" w:eastAsia="pt-BR"/>
        </w:rPr>
        <w:t>,</w:t>
      </w:r>
      <w:r w:rsidRPr="008210C1">
        <w:rPr>
          <w:rFonts w:ascii="Times New Roman" w:eastAsia="Times New Roman" w:hAnsi="Times New Roman" w:cs="Times New Roman"/>
          <w:sz w:val="24"/>
          <w:szCs w:val="24"/>
          <w:lang w:val="en-US" w:eastAsia="pt-BR"/>
        </w:rPr>
        <w:t xml:space="preserve"> since all external flux changes the liquidity conditions at the money market. </w:t>
      </w:r>
      <w:r w:rsidR="006D70BD" w:rsidRPr="008210C1">
        <w:rPr>
          <w:rFonts w:ascii="Times New Roman" w:eastAsia="Times New Roman" w:hAnsi="Times New Roman" w:cs="Times New Roman"/>
          <w:sz w:val="24"/>
          <w:szCs w:val="24"/>
          <w:lang w:val="en-US" w:eastAsia="pt-BR"/>
        </w:rPr>
        <w:t>A</w:t>
      </w:r>
      <w:r w:rsidRPr="008210C1">
        <w:rPr>
          <w:rFonts w:ascii="Times New Roman" w:eastAsia="Times New Roman" w:hAnsi="Times New Roman" w:cs="Times New Roman"/>
          <w:sz w:val="24"/>
          <w:szCs w:val="24"/>
          <w:lang w:val="en-US" w:eastAsia="pt-BR"/>
        </w:rPr>
        <w:t>gain, this feature stresses the need of coordinated economic policies, which</w:t>
      </w:r>
      <w:r w:rsidR="006D70BD"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xml:space="preserve">is the key to construct good conventions about the </w:t>
      </w:r>
      <w:r w:rsidR="006D70BD" w:rsidRPr="008210C1">
        <w:rPr>
          <w:rFonts w:ascii="Times New Roman" w:eastAsia="Times New Roman" w:hAnsi="Times New Roman" w:cs="Times New Roman"/>
          <w:sz w:val="24"/>
          <w:szCs w:val="24"/>
          <w:lang w:val="en-US" w:eastAsia="pt-BR"/>
        </w:rPr>
        <w:t>economy’s future trail</w:t>
      </w:r>
      <w:r w:rsidRPr="008210C1">
        <w:rPr>
          <w:rFonts w:ascii="Times New Roman" w:eastAsia="Times New Roman" w:hAnsi="Times New Roman" w:cs="Times New Roman"/>
          <w:sz w:val="24"/>
          <w:szCs w:val="24"/>
          <w:lang w:val="en-US" w:eastAsia="pt-BR"/>
        </w:rPr>
        <w:t xml:space="preserve">. If the government does not swap its economic policy in a peremptory manner, within this </w:t>
      </w:r>
      <w:r w:rsidR="00AB0981" w:rsidRPr="008210C1">
        <w:rPr>
          <w:rFonts w:ascii="Times New Roman" w:eastAsia="Times New Roman" w:hAnsi="Times New Roman" w:cs="Times New Roman"/>
          <w:sz w:val="24"/>
          <w:szCs w:val="24"/>
          <w:lang w:val="en-US" w:eastAsia="pt-BR"/>
        </w:rPr>
        <w:t>economic policy</w:t>
      </w:r>
      <w:r w:rsidRPr="008210C1">
        <w:rPr>
          <w:rFonts w:ascii="Times New Roman" w:eastAsia="Times New Roman" w:hAnsi="Times New Roman" w:cs="Times New Roman"/>
          <w:sz w:val="24"/>
          <w:szCs w:val="24"/>
          <w:lang w:val="en-US" w:eastAsia="pt-BR"/>
        </w:rPr>
        <w:t xml:space="preserve"> framework, good conventions are expected.</w:t>
      </w:r>
    </w:p>
    <w:p w:rsidR="00190301" w:rsidRPr="008210C1" w:rsidRDefault="003C4812" w:rsidP="008210C1">
      <w:pPr>
        <w:spacing w:after="0" w:line="240" w:lineRule="auto"/>
        <w:ind w:firstLine="708"/>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 xml:space="preserve"> H</w:t>
      </w:r>
      <w:r w:rsidR="00AB0981" w:rsidRPr="008210C1">
        <w:rPr>
          <w:rFonts w:ascii="Times New Roman" w:eastAsia="Times New Roman" w:hAnsi="Times New Roman" w:cs="Times New Roman"/>
          <w:sz w:val="24"/>
          <w:szCs w:val="24"/>
          <w:lang w:val="en-US" w:eastAsia="pt-BR"/>
        </w:rPr>
        <w:t xml:space="preserve">aving </w:t>
      </w:r>
      <w:r w:rsidRPr="008210C1">
        <w:rPr>
          <w:rFonts w:ascii="Times New Roman" w:eastAsia="Times New Roman" w:hAnsi="Times New Roman" w:cs="Times New Roman"/>
          <w:sz w:val="24"/>
          <w:szCs w:val="24"/>
          <w:lang w:val="en-US" w:eastAsia="pt-BR"/>
        </w:rPr>
        <w:t>argued</w:t>
      </w:r>
      <w:r w:rsidR="00AB0981" w:rsidRPr="008210C1">
        <w:rPr>
          <w:rFonts w:ascii="Times New Roman" w:eastAsia="Times New Roman" w:hAnsi="Times New Roman" w:cs="Times New Roman"/>
          <w:sz w:val="24"/>
          <w:szCs w:val="24"/>
          <w:lang w:val="en-US" w:eastAsia="pt-BR"/>
        </w:rPr>
        <w:t xml:space="preserve"> about the links between </w:t>
      </w:r>
      <w:r w:rsidR="006D70BD" w:rsidRPr="008210C1">
        <w:rPr>
          <w:rFonts w:ascii="Times New Roman" w:eastAsia="Times New Roman" w:hAnsi="Times New Roman" w:cs="Times New Roman"/>
          <w:sz w:val="24"/>
          <w:szCs w:val="24"/>
          <w:lang w:val="en-US" w:eastAsia="pt-BR"/>
        </w:rPr>
        <w:t>government’s actions</w:t>
      </w:r>
      <w:r w:rsidR="00AB0981" w:rsidRPr="008210C1">
        <w:rPr>
          <w:rFonts w:ascii="Times New Roman" w:eastAsia="Times New Roman" w:hAnsi="Times New Roman" w:cs="Times New Roman"/>
          <w:sz w:val="24"/>
          <w:szCs w:val="24"/>
          <w:lang w:val="en-US" w:eastAsia="pt-BR"/>
        </w:rPr>
        <w:t xml:space="preserve"> and conventions, we</w:t>
      </w:r>
      <w:r w:rsidR="00FC2E26" w:rsidRPr="008210C1">
        <w:rPr>
          <w:rFonts w:ascii="Times New Roman" w:eastAsia="Times New Roman" w:hAnsi="Times New Roman" w:cs="Times New Roman"/>
          <w:sz w:val="24"/>
          <w:szCs w:val="24"/>
          <w:lang w:val="en-US" w:eastAsia="pt-BR"/>
        </w:rPr>
        <w:t xml:space="preserve"> </w:t>
      </w:r>
      <w:r w:rsidR="00AB0981" w:rsidRPr="008210C1">
        <w:rPr>
          <w:rFonts w:ascii="Times New Roman" w:eastAsia="Times New Roman" w:hAnsi="Times New Roman" w:cs="Times New Roman"/>
          <w:sz w:val="24"/>
          <w:szCs w:val="24"/>
          <w:lang w:val="en-US" w:eastAsia="pt-BR"/>
        </w:rPr>
        <w:t>analyze</w:t>
      </w:r>
      <w:r w:rsidR="00FC2E26"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xml:space="preserve">next </w:t>
      </w:r>
      <w:r w:rsidR="00FC2E26" w:rsidRPr="008210C1">
        <w:rPr>
          <w:rFonts w:ascii="Times New Roman" w:eastAsia="Times New Roman" w:hAnsi="Times New Roman" w:cs="Times New Roman"/>
          <w:sz w:val="24"/>
          <w:szCs w:val="24"/>
          <w:lang w:val="en-US" w:eastAsia="pt-BR"/>
        </w:rPr>
        <w:t>the Brazilian economy slump</w:t>
      </w:r>
      <w:r w:rsidR="00AB0981" w:rsidRPr="008210C1">
        <w:rPr>
          <w:rFonts w:ascii="Times New Roman" w:eastAsia="Times New Roman" w:hAnsi="Times New Roman" w:cs="Times New Roman"/>
          <w:sz w:val="24"/>
          <w:szCs w:val="24"/>
          <w:lang w:val="en-US" w:eastAsia="pt-BR"/>
        </w:rPr>
        <w:t xml:space="preserve"> after 2011</w:t>
      </w:r>
      <w:r w:rsidR="00FC2E26" w:rsidRPr="008210C1">
        <w:rPr>
          <w:rFonts w:ascii="Times New Roman" w:eastAsia="Times New Roman" w:hAnsi="Times New Roman" w:cs="Times New Roman"/>
          <w:sz w:val="24"/>
          <w:szCs w:val="24"/>
          <w:lang w:val="en-US" w:eastAsia="pt-BR"/>
        </w:rPr>
        <w:t xml:space="preserve">. </w:t>
      </w:r>
      <w:r w:rsidR="00AB0981" w:rsidRPr="008210C1">
        <w:rPr>
          <w:rFonts w:ascii="Times New Roman" w:eastAsia="Times New Roman" w:hAnsi="Times New Roman" w:cs="Times New Roman"/>
          <w:sz w:val="24"/>
          <w:szCs w:val="24"/>
          <w:lang w:val="en-US" w:eastAsia="pt-BR"/>
        </w:rPr>
        <w:t>Over</w:t>
      </w:r>
      <w:r w:rsidR="00FC2E26" w:rsidRPr="008210C1">
        <w:rPr>
          <w:rFonts w:ascii="Times New Roman" w:eastAsia="Times New Roman" w:hAnsi="Times New Roman" w:cs="Times New Roman"/>
          <w:sz w:val="24"/>
          <w:szCs w:val="24"/>
          <w:lang w:val="en-US" w:eastAsia="pt-BR"/>
        </w:rPr>
        <w:t xml:space="preserve"> 2003</w:t>
      </w:r>
      <w:r w:rsidR="00AB0981" w:rsidRPr="008210C1">
        <w:rPr>
          <w:rFonts w:ascii="Times New Roman" w:eastAsia="Times New Roman" w:hAnsi="Times New Roman" w:cs="Times New Roman"/>
          <w:sz w:val="24"/>
          <w:szCs w:val="24"/>
          <w:lang w:val="en-US" w:eastAsia="pt-BR"/>
        </w:rPr>
        <w:t>-</w:t>
      </w:r>
      <w:r w:rsidR="00FC2E26" w:rsidRPr="008210C1">
        <w:rPr>
          <w:rFonts w:ascii="Times New Roman" w:eastAsia="Times New Roman" w:hAnsi="Times New Roman" w:cs="Times New Roman"/>
          <w:sz w:val="24"/>
          <w:szCs w:val="24"/>
          <w:lang w:val="en-US" w:eastAsia="pt-BR"/>
        </w:rPr>
        <w:t xml:space="preserve">2010, Brazilian economy passed through a boom. From 2011, but mainly </w:t>
      </w:r>
      <w:r w:rsidR="00AB0981" w:rsidRPr="008210C1">
        <w:rPr>
          <w:rFonts w:ascii="Times New Roman" w:eastAsia="Times New Roman" w:hAnsi="Times New Roman" w:cs="Times New Roman"/>
          <w:sz w:val="24"/>
          <w:szCs w:val="24"/>
          <w:lang w:val="en-US" w:eastAsia="pt-BR"/>
        </w:rPr>
        <w:t xml:space="preserve">since </w:t>
      </w:r>
      <w:r w:rsidR="00FC2E26" w:rsidRPr="008210C1">
        <w:rPr>
          <w:rFonts w:ascii="Times New Roman" w:eastAsia="Times New Roman" w:hAnsi="Times New Roman" w:cs="Times New Roman"/>
          <w:sz w:val="24"/>
          <w:szCs w:val="24"/>
          <w:lang w:val="en-US" w:eastAsia="pt-BR"/>
        </w:rPr>
        <w:t xml:space="preserve">2014 onwards, Brazil </w:t>
      </w:r>
      <w:r w:rsidR="00AB0981" w:rsidRPr="008210C1">
        <w:rPr>
          <w:rFonts w:ascii="Times New Roman" w:eastAsia="Times New Roman" w:hAnsi="Times New Roman" w:cs="Times New Roman"/>
          <w:sz w:val="24"/>
          <w:szCs w:val="24"/>
          <w:lang w:val="en-US" w:eastAsia="pt-BR"/>
        </w:rPr>
        <w:t>has been suffering</w:t>
      </w:r>
      <w:r w:rsidR="00FC2E26" w:rsidRPr="008210C1">
        <w:rPr>
          <w:rFonts w:ascii="Times New Roman" w:eastAsia="Times New Roman" w:hAnsi="Times New Roman" w:cs="Times New Roman"/>
          <w:sz w:val="24"/>
          <w:szCs w:val="24"/>
          <w:lang w:val="en-US" w:eastAsia="pt-BR"/>
        </w:rPr>
        <w:t xml:space="preserve"> </w:t>
      </w:r>
      <w:r w:rsidR="006D70BD" w:rsidRPr="008210C1">
        <w:rPr>
          <w:rFonts w:ascii="Times New Roman" w:eastAsia="Times New Roman" w:hAnsi="Times New Roman" w:cs="Times New Roman"/>
          <w:sz w:val="24"/>
          <w:szCs w:val="24"/>
          <w:lang w:val="en-US" w:eastAsia="pt-BR"/>
        </w:rPr>
        <w:t xml:space="preserve">its </w:t>
      </w:r>
      <w:r w:rsidR="00AB0981" w:rsidRPr="008210C1">
        <w:rPr>
          <w:rFonts w:ascii="Times New Roman" w:eastAsia="Times New Roman" w:hAnsi="Times New Roman" w:cs="Times New Roman"/>
          <w:sz w:val="24"/>
          <w:szCs w:val="24"/>
          <w:lang w:val="en-US" w:eastAsia="pt-BR"/>
        </w:rPr>
        <w:t xml:space="preserve">worst </w:t>
      </w:r>
      <w:r w:rsidR="00FC2E26" w:rsidRPr="008210C1">
        <w:rPr>
          <w:rFonts w:ascii="Times New Roman" w:eastAsia="Times New Roman" w:hAnsi="Times New Roman" w:cs="Times New Roman"/>
          <w:sz w:val="24"/>
          <w:szCs w:val="24"/>
          <w:lang w:val="en-US" w:eastAsia="pt-BR"/>
        </w:rPr>
        <w:t xml:space="preserve">recession </w:t>
      </w:r>
      <w:r w:rsidR="006D70BD" w:rsidRPr="008210C1">
        <w:rPr>
          <w:rFonts w:ascii="Times New Roman" w:eastAsia="Times New Roman" w:hAnsi="Times New Roman" w:cs="Times New Roman"/>
          <w:sz w:val="24"/>
          <w:szCs w:val="24"/>
          <w:lang w:val="en-US" w:eastAsia="pt-BR"/>
        </w:rPr>
        <w:t>ever</w:t>
      </w:r>
      <w:r w:rsidR="00FC2E26" w:rsidRPr="008210C1">
        <w:rPr>
          <w:rFonts w:ascii="Times New Roman" w:eastAsia="Times New Roman" w:hAnsi="Times New Roman" w:cs="Times New Roman"/>
          <w:sz w:val="24"/>
          <w:szCs w:val="24"/>
          <w:lang w:val="en-US" w:eastAsia="pt-BR"/>
        </w:rPr>
        <w:t xml:space="preserve">. How </w:t>
      </w:r>
      <w:r w:rsidR="00AB0981" w:rsidRPr="008210C1">
        <w:rPr>
          <w:rFonts w:ascii="Times New Roman" w:eastAsia="Times New Roman" w:hAnsi="Times New Roman" w:cs="Times New Roman"/>
          <w:sz w:val="24"/>
          <w:szCs w:val="24"/>
          <w:lang w:val="en-US" w:eastAsia="pt-BR"/>
        </w:rPr>
        <w:t xml:space="preserve">the </w:t>
      </w:r>
      <w:r w:rsidR="00FC2E26" w:rsidRPr="008210C1">
        <w:rPr>
          <w:rFonts w:ascii="Times New Roman" w:eastAsia="Times New Roman" w:hAnsi="Times New Roman" w:cs="Times New Roman"/>
          <w:sz w:val="24"/>
          <w:szCs w:val="24"/>
          <w:lang w:val="en-US" w:eastAsia="pt-BR"/>
        </w:rPr>
        <w:t>economic policies and their influence on conventions help explaining what happened to Brazil</w:t>
      </w:r>
      <w:r w:rsidR="00AB0981" w:rsidRPr="008210C1">
        <w:rPr>
          <w:rFonts w:ascii="Times New Roman" w:eastAsia="Times New Roman" w:hAnsi="Times New Roman" w:cs="Times New Roman"/>
          <w:sz w:val="24"/>
          <w:szCs w:val="24"/>
          <w:lang w:val="en-US" w:eastAsia="pt-BR"/>
        </w:rPr>
        <w:t xml:space="preserve"> is the topic of next section.</w:t>
      </w:r>
    </w:p>
    <w:p w:rsidR="00E44221" w:rsidRPr="008210C1" w:rsidRDefault="00E44221" w:rsidP="008210C1">
      <w:pPr>
        <w:spacing w:after="0" w:line="240" w:lineRule="auto"/>
        <w:ind w:firstLine="709"/>
        <w:jc w:val="both"/>
        <w:rPr>
          <w:rFonts w:ascii="Times New Roman" w:hAnsi="Times New Roman" w:cs="Times New Roman"/>
          <w:b/>
          <w:sz w:val="24"/>
          <w:szCs w:val="24"/>
          <w:lang w:val="en-US"/>
        </w:rPr>
      </w:pPr>
    </w:p>
    <w:p w:rsidR="00E44221" w:rsidRPr="008210C1" w:rsidRDefault="002D2426" w:rsidP="008210C1">
      <w:pPr>
        <w:spacing w:after="0" w:line="240" w:lineRule="auto"/>
        <w:jc w:val="both"/>
        <w:outlineLvl w:val="0"/>
        <w:rPr>
          <w:rFonts w:ascii="Times New Roman" w:eastAsia="Times New Roman" w:hAnsi="Times New Roman" w:cs="Times New Roman"/>
          <w:b/>
          <w:sz w:val="24"/>
          <w:szCs w:val="24"/>
          <w:lang w:val="en-US" w:eastAsia="pt-BR"/>
        </w:rPr>
      </w:pPr>
      <w:r w:rsidRPr="008210C1">
        <w:rPr>
          <w:rFonts w:ascii="Times New Roman" w:hAnsi="Times New Roman" w:cs="Times New Roman"/>
          <w:b/>
          <w:sz w:val="24"/>
          <w:szCs w:val="24"/>
          <w:lang w:val="en-US"/>
        </w:rPr>
        <w:t>4. The Role of Conventions in</w:t>
      </w:r>
      <w:r w:rsidR="00525F1E" w:rsidRPr="008210C1">
        <w:rPr>
          <w:rFonts w:ascii="Times New Roman" w:hAnsi="Times New Roman" w:cs="Times New Roman"/>
          <w:b/>
          <w:sz w:val="24"/>
          <w:szCs w:val="24"/>
          <w:lang w:val="en-US"/>
        </w:rPr>
        <w:t xml:space="preserve"> </w:t>
      </w:r>
      <w:r w:rsidRPr="008210C1">
        <w:rPr>
          <w:rFonts w:ascii="Times New Roman" w:hAnsi="Times New Roman" w:cs="Times New Roman"/>
          <w:b/>
          <w:sz w:val="24"/>
          <w:szCs w:val="24"/>
          <w:lang w:val="en-US"/>
        </w:rPr>
        <w:t xml:space="preserve">the </w:t>
      </w:r>
      <w:r w:rsidRPr="008210C1">
        <w:rPr>
          <w:rFonts w:ascii="Times New Roman" w:eastAsia="Times New Roman" w:hAnsi="Times New Roman" w:cs="Times New Roman"/>
          <w:b/>
          <w:sz w:val="24"/>
          <w:szCs w:val="24"/>
          <w:lang w:val="en-US" w:eastAsia="pt-BR"/>
        </w:rPr>
        <w:t>Brazilian Econom</w:t>
      </w:r>
      <w:r w:rsidR="00066ACD" w:rsidRPr="008210C1">
        <w:rPr>
          <w:rFonts w:ascii="Times New Roman" w:eastAsia="Times New Roman" w:hAnsi="Times New Roman" w:cs="Times New Roman"/>
          <w:b/>
          <w:sz w:val="24"/>
          <w:szCs w:val="24"/>
          <w:lang w:val="en-US" w:eastAsia="pt-BR"/>
        </w:rPr>
        <w:t>ic</w:t>
      </w:r>
      <w:r w:rsidR="00962AB3" w:rsidRPr="008210C1">
        <w:rPr>
          <w:rFonts w:ascii="Times New Roman" w:eastAsia="Times New Roman" w:hAnsi="Times New Roman" w:cs="Times New Roman"/>
          <w:b/>
          <w:sz w:val="24"/>
          <w:szCs w:val="24"/>
          <w:lang w:val="en-US" w:eastAsia="pt-BR"/>
        </w:rPr>
        <w:t xml:space="preserve"> Slump</w:t>
      </w:r>
      <w:r w:rsidRPr="008210C1">
        <w:rPr>
          <w:rFonts w:ascii="Times New Roman" w:eastAsia="Times New Roman" w:hAnsi="Times New Roman" w:cs="Times New Roman"/>
          <w:b/>
          <w:sz w:val="24"/>
          <w:szCs w:val="24"/>
          <w:lang w:val="en-US" w:eastAsia="pt-BR"/>
        </w:rPr>
        <w:t>: 20</w:t>
      </w:r>
      <w:r w:rsidR="00962AB3" w:rsidRPr="008210C1">
        <w:rPr>
          <w:rFonts w:ascii="Times New Roman" w:eastAsia="Times New Roman" w:hAnsi="Times New Roman" w:cs="Times New Roman"/>
          <w:b/>
          <w:sz w:val="24"/>
          <w:szCs w:val="24"/>
          <w:lang w:val="en-US" w:eastAsia="pt-BR"/>
        </w:rPr>
        <w:t>11</w:t>
      </w:r>
      <w:r w:rsidRPr="008210C1">
        <w:rPr>
          <w:rFonts w:ascii="Times New Roman" w:eastAsia="Times New Roman" w:hAnsi="Times New Roman" w:cs="Times New Roman"/>
          <w:b/>
          <w:sz w:val="24"/>
          <w:szCs w:val="24"/>
          <w:lang w:val="en-US" w:eastAsia="pt-BR"/>
        </w:rPr>
        <w:t>-2016</w:t>
      </w:r>
    </w:p>
    <w:p w:rsidR="00F27926" w:rsidRPr="008210C1" w:rsidRDefault="00206DF0" w:rsidP="008210C1">
      <w:pPr>
        <w:spacing w:after="0" w:line="240" w:lineRule="auto"/>
        <w:contextualSpacing/>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 xml:space="preserve">To understand </w:t>
      </w:r>
      <w:r w:rsidR="008A6DED" w:rsidRPr="008210C1">
        <w:rPr>
          <w:rFonts w:ascii="Times New Roman" w:eastAsia="Times New Roman" w:hAnsi="Times New Roman" w:cs="Times New Roman"/>
          <w:sz w:val="24"/>
          <w:szCs w:val="24"/>
          <w:lang w:val="en-US" w:eastAsia="pt-BR"/>
        </w:rPr>
        <w:t>Brazil</w:t>
      </w:r>
      <w:r w:rsidR="008311FB" w:rsidRPr="008210C1">
        <w:rPr>
          <w:rFonts w:ascii="Times New Roman" w:eastAsia="Times New Roman" w:hAnsi="Times New Roman" w:cs="Times New Roman"/>
          <w:sz w:val="24"/>
          <w:szCs w:val="24"/>
          <w:lang w:val="en-US" w:eastAsia="pt-BR"/>
        </w:rPr>
        <w:t>’s</w:t>
      </w:r>
      <w:r w:rsidR="008A6DED" w:rsidRPr="008210C1">
        <w:rPr>
          <w:rFonts w:ascii="Times New Roman" w:eastAsia="Times New Roman" w:hAnsi="Times New Roman" w:cs="Times New Roman"/>
          <w:sz w:val="24"/>
          <w:szCs w:val="24"/>
          <w:lang w:val="en-US" w:eastAsia="pt-BR"/>
        </w:rPr>
        <w:t xml:space="preserve"> </w:t>
      </w:r>
      <w:r w:rsidR="004B70D1" w:rsidRPr="008210C1">
        <w:rPr>
          <w:rFonts w:ascii="Times New Roman" w:eastAsia="Times New Roman" w:hAnsi="Times New Roman" w:cs="Times New Roman"/>
          <w:sz w:val="24"/>
          <w:szCs w:val="24"/>
          <w:lang w:val="en-US" w:eastAsia="pt-BR"/>
        </w:rPr>
        <w:t xml:space="preserve">economic downturn </w:t>
      </w:r>
      <w:r w:rsidR="00DC5B30" w:rsidRPr="008210C1">
        <w:rPr>
          <w:rFonts w:ascii="Times New Roman" w:eastAsia="Times New Roman" w:hAnsi="Times New Roman" w:cs="Times New Roman"/>
          <w:sz w:val="24"/>
          <w:szCs w:val="24"/>
          <w:lang w:val="en-US" w:eastAsia="pt-BR"/>
        </w:rPr>
        <w:t xml:space="preserve">over </w:t>
      </w:r>
      <w:r w:rsidR="000C38E1" w:rsidRPr="008210C1">
        <w:rPr>
          <w:rFonts w:ascii="Times New Roman" w:eastAsia="Times New Roman" w:hAnsi="Times New Roman" w:cs="Times New Roman"/>
          <w:sz w:val="24"/>
          <w:szCs w:val="24"/>
          <w:lang w:val="en-US" w:eastAsia="pt-BR"/>
        </w:rPr>
        <w:t>2011</w:t>
      </w:r>
      <w:r w:rsidR="00DC5B30" w:rsidRPr="008210C1">
        <w:rPr>
          <w:rFonts w:ascii="Times New Roman" w:eastAsia="Times New Roman" w:hAnsi="Times New Roman" w:cs="Times New Roman"/>
          <w:sz w:val="24"/>
          <w:szCs w:val="24"/>
          <w:lang w:val="en-US" w:eastAsia="pt-BR"/>
        </w:rPr>
        <w:t>-2016</w:t>
      </w:r>
      <w:r w:rsidRPr="008210C1">
        <w:rPr>
          <w:rFonts w:ascii="Times New Roman" w:eastAsia="Times New Roman" w:hAnsi="Times New Roman" w:cs="Times New Roman"/>
          <w:sz w:val="24"/>
          <w:szCs w:val="24"/>
          <w:lang w:val="en-US" w:eastAsia="pt-BR"/>
        </w:rPr>
        <w:t xml:space="preserve">, </w:t>
      </w:r>
      <w:r w:rsidR="008311FB" w:rsidRPr="008210C1">
        <w:rPr>
          <w:rFonts w:ascii="Times New Roman" w:eastAsia="Times New Roman" w:hAnsi="Times New Roman" w:cs="Times New Roman"/>
          <w:sz w:val="24"/>
          <w:szCs w:val="24"/>
          <w:lang w:val="en-US" w:eastAsia="pt-BR"/>
        </w:rPr>
        <w:t>a brief analysis</w:t>
      </w:r>
      <w:r w:rsidRPr="008210C1">
        <w:rPr>
          <w:rFonts w:ascii="Times New Roman" w:eastAsia="Times New Roman" w:hAnsi="Times New Roman" w:cs="Times New Roman"/>
          <w:sz w:val="24"/>
          <w:szCs w:val="24"/>
          <w:lang w:val="en-US" w:eastAsia="pt-BR"/>
        </w:rPr>
        <w:t xml:space="preserve"> about </w:t>
      </w:r>
      <w:r w:rsidR="000C38E1" w:rsidRPr="008210C1">
        <w:rPr>
          <w:rFonts w:ascii="Times New Roman" w:eastAsia="Times New Roman" w:hAnsi="Times New Roman" w:cs="Times New Roman"/>
          <w:sz w:val="24"/>
          <w:szCs w:val="24"/>
          <w:lang w:val="en-US" w:eastAsia="pt-BR"/>
        </w:rPr>
        <w:t xml:space="preserve">the </w:t>
      </w:r>
      <w:r w:rsidR="00170259" w:rsidRPr="008210C1">
        <w:rPr>
          <w:rFonts w:ascii="Times New Roman" w:eastAsia="Times New Roman" w:hAnsi="Times New Roman" w:cs="Times New Roman"/>
          <w:sz w:val="24"/>
          <w:szCs w:val="24"/>
          <w:lang w:val="en-US" w:eastAsia="pt-BR"/>
        </w:rPr>
        <w:t>previous</w:t>
      </w:r>
      <w:r w:rsidR="000C38E1" w:rsidRPr="008210C1">
        <w:rPr>
          <w:rFonts w:ascii="Times New Roman" w:eastAsia="Times New Roman" w:hAnsi="Times New Roman" w:cs="Times New Roman"/>
          <w:sz w:val="24"/>
          <w:szCs w:val="24"/>
          <w:lang w:val="en-US" w:eastAsia="pt-BR"/>
        </w:rPr>
        <w:t xml:space="preserve"> period</w:t>
      </w:r>
      <w:r w:rsidR="003C4812" w:rsidRPr="008210C1">
        <w:rPr>
          <w:rFonts w:ascii="Times New Roman" w:eastAsia="Times New Roman" w:hAnsi="Times New Roman" w:cs="Times New Roman"/>
          <w:sz w:val="24"/>
          <w:szCs w:val="24"/>
          <w:lang w:val="en-US" w:eastAsia="pt-BR"/>
        </w:rPr>
        <w:t xml:space="preserve">, </w:t>
      </w:r>
      <w:r w:rsidR="002D2426" w:rsidRPr="008210C1">
        <w:rPr>
          <w:rFonts w:ascii="Times New Roman" w:eastAsia="Times New Roman" w:hAnsi="Times New Roman" w:cs="Times New Roman"/>
          <w:sz w:val="24"/>
          <w:szCs w:val="24"/>
          <w:lang w:val="en-US" w:eastAsia="pt-BR"/>
        </w:rPr>
        <w:t>200</w:t>
      </w:r>
      <w:r w:rsidR="005F0F79" w:rsidRPr="008210C1">
        <w:rPr>
          <w:rFonts w:ascii="Times New Roman" w:eastAsia="Times New Roman" w:hAnsi="Times New Roman" w:cs="Times New Roman"/>
          <w:sz w:val="24"/>
          <w:szCs w:val="24"/>
          <w:lang w:val="en-US" w:eastAsia="pt-BR"/>
        </w:rPr>
        <w:t>3</w:t>
      </w:r>
      <w:r w:rsidR="002D2426" w:rsidRPr="008210C1">
        <w:rPr>
          <w:rFonts w:ascii="Times New Roman" w:eastAsia="Times New Roman" w:hAnsi="Times New Roman" w:cs="Times New Roman"/>
          <w:sz w:val="24"/>
          <w:szCs w:val="24"/>
          <w:lang w:val="en-US" w:eastAsia="pt-BR"/>
        </w:rPr>
        <w:t>-201</w:t>
      </w:r>
      <w:r w:rsidR="000C433B" w:rsidRPr="008210C1">
        <w:rPr>
          <w:rFonts w:ascii="Times New Roman" w:eastAsia="Times New Roman" w:hAnsi="Times New Roman" w:cs="Times New Roman"/>
          <w:sz w:val="24"/>
          <w:szCs w:val="24"/>
          <w:lang w:val="en-US" w:eastAsia="pt-BR"/>
        </w:rPr>
        <w:t>0</w:t>
      </w:r>
      <w:r w:rsidR="008311FB" w:rsidRPr="008210C1">
        <w:rPr>
          <w:rFonts w:ascii="Times New Roman" w:eastAsia="Times New Roman" w:hAnsi="Times New Roman" w:cs="Times New Roman"/>
          <w:sz w:val="24"/>
          <w:szCs w:val="24"/>
          <w:lang w:val="en-US" w:eastAsia="pt-BR"/>
        </w:rPr>
        <w:t xml:space="preserve">, is needed. </w:t>
      </w:r>
      <w:r w:rsidR="002D2426" w:rsidRPr="008210C1">
        <w:rPr>
          <w:rFonts w:ascii="Times New Roman" w:eastAsia="Times New Roman" w:hAnsi="Times New Roman" w:cs="Times New Roman"/>
          <w:sz w:val="24"/>
          <w:szCs w:val="24"/>
          <w:lang w:val="en-US" w:eastAsia="pt-BR"/>
        </w:rPr>
        <w:t>Brazil went through a full economic cycle</w:t>
      </w:r>
      <w:r w:rsidR="006A7D4E" w:rsidRPr="008210C1">
        <w:rPr>
          <w:rFonts w:ascii="Times New Roman" w:eastAsia="Times New Roman" w:hAnsi="Times New Roman" w:cs="Times New Roman"/>
          <w:sz w:val="24"/>
          <w:szCs w:val="24"/>
          <w:lang w:val="en-US" w:eastAsia="pt-BR"/>
        </w:rPr>
        <w:t xml:space="preserve">, being </w:t>
      </w:r>
      <w:r w:rsidR="00170259" w:rsidRPr="008210C1">
        <w:rPr>
          <w:rFonts w:ascii="Times New Roman" w:eastAsia="Times New Roman" w:hAnsi="Times New Roman" w:cs="Times New Roman"/>
          <w:sz w:val="24"/>
          <w:szCs w:val="24"/>
          <w:lang w:val="en-US" w:eastAsia="pt-BR"/>
        </w:rPr>
        <w:t xml:space="preserve">the </w:t>
      </w:r>
      <w:r w:rsidR="008311FB" w:rsidRPr="008210C1">
        <w:rPr>
          <w:rFonts w:ascii="Times New Roman" w:eastAsia="Times New Roman" w:hAnsi="Times New Roman" w:cs="Times New Roman"/>
          <w:sz w:val="24"/>
          <w:szCs w:val="24"/>
          <w:lang w:val="en-US" w:eastAsia="pt-BR"/>
        </w:rPr>
        <w:t xml:space="preserve">period </w:t>
      </w:r>
      <w:r w:rsidR="00170259" w:rsidRPr="008210C1">
        <w:rPr>
          <w:rFonts w:ascii="Times New Roman" w:eastAsia="Times New Roman" w:hAnsi="Times New Roman" w:cs="Times New Roman"/>
          <w:sz w:val="24"/>
          <w:szCs w:val="24"/>
          <w:lang w:val="en-US" w:eastAsia="pt-BR"/>
        </w:rPr>
        <w:t>2004-2008 the</w:t>
      </w:r>
      <w:r w:rsidR="002D2426" w:rsidRPr="008210C1">
        <w:rPr>
          <w:rFonts w:ascii="Times New Roman" w:eastAsia="Times New Roman" w:hAnsi="Times New Roman" w:cs="Times New Roman"/>
          <w:sz w:val="24"/>
          <w:szCs w:val="24"/>
          <w:lang w:val="en-US" w:eastAsia="pt-BR"/>
        </w:rPr>
        <w:t xml:space="preserve"> </w:t>
      </w:r>
      <w:r w:rsidR="00F867E2" w:rsidRPr="008210C1">
        <w:rPr>
          <w:rFonts w:ascii="Times New Roman" w:eastAsia="Times New Roman" w:hAnsi="Times New Roman" w:cs="Times New Roman"/>
          <w:sz w:val="24"/>
          <w:szCs w:val="24"/>
          <w:lang w:val="en-US" w:eastAsia="pt-BR"/>
        </w:rPr>
        <w:t>boom</w:t>
      </w:r>
      <w:r w:rsidR="002D2426" w:rsidRPr="008210C1">
        <w:rPr>
          <w:rFonts w:ascii="Times New Roman" w:eastAsia="Times New Roman" w:hAnsi="Times New Roman" w:cs="Times New Roman"/>
          <w:sz w:val="24"/>
          <w:szCs w:val="24"/>
          <w:lang w:val="en-US" w:eastAsia="pt-BR"/>
        </w:rPr>
        <w:t xml:space="preserve"> phase</w:t>
      </w:r>
      <w:r w:rsidR="005F0F79" w:rsidRPr="008210C1">
        <w:rPr>
          <w:rFonts w:ascii="Times New Roman" w:eastAsia="Times New Roman" w:hAnsi="Times New Roman" w:cs="Times New Roman"/>
          <w:sz w:val="24"/>
          <w:szCs w:val="24"/>
          <w:lang w:val="en-US" w:eastAsia="pt-BR"/>
        </w:rPr>
        <w:t xml:space="preserve">, </w:t>
      </w:r>
      <w:r w:rsidR="00170259" w:rsidRPr="008210C1">
        <w:rPr>
          <w:rFonts w:ascii="Times New Roman" w:eastAsia="Times New Roman" w:hAnsi="Times New Roman" w:cs="Times New Roman"/>
          <w:sz w:val="24"/>
          <w:szCs w:val="24"/>
          <w:lang w:val="en-US" w:eastAsia="pt-BR"/>
        </w:rPr>
        <w:t>with 4.8%</w:t>
      </w:r>
      <w:r w:rsidR="00F867E2" w:rsidRPr="008210C1">
        <w:rPr>
          <w:rFonts w:ascii="Times New Roman" w:eastAsia="Times New Roman" w:hAnsi="Times New Roman" w:cs="Times New Roman"/>
          <w:sz w:val="24"/>
          <w:szCs w:val="24"/>
          <w:lang w:val="en-US" w:eastAsia="pt-BR"/>
        </w:rPr>
        <w:t xml:space="preserve"> </w:t>
      </w:r>
      <w:r w:rsidR="00170259" w:rsidRPr="008210C1">
        <w:rPr>
          <w:rFonts w:ascii="Times New Roman" w:eastAsia="Times New Roman" w:hAnsi="Times New Roman" w:cs="Times New Roman"/>
          <w:sz w:val="24"/>
          <w:szCs w:val="24"/>
          <w:lang w:val="en-US" w:eastAsia="pt-BR"/>
        </w:rPr>
        <w:t>a</w:t>
      </w:r>
      <w:r w:rsidR="002D2426" w:rsidRPr="008210C1">
        <w:rPr>
          <w:rFonts w:ascii="Times New Roman" w:eastAsia="Times New Roman" w:hAnsi="Times New Roman" w:cs="Times New Roman"/>
          <w:sz w:val="24"/>
          <w:szCs w:val="24"/>
          <w:lang w:val="en-US" w:eastAsia="pt-BR"/>
        </w:rPr>
        <w:t>nnual</w:t>
      </w:r>
      <w:r w:rsidR="004D46E7" w:rsidRPr="008210C1">
        <w:rPr>
          <w:rFonts w:ascii="Times New Roman" w:eastAsia="Times New Roman" w:hAnsi="Times New Roman" w:cs="Times New Roman"/>
          <w:sz w:val="24"/>
          <w:szCs w:val="24"/>
          <w:lang w:val="en-US" w:eastAsia="pt-BR"/>
        </w:rPr>
        <w:t xml:space="preserve"> </w:t>
      </w:r>
      <w:r w:rsidR="002D2426" w:rsidRPr="008210C1">
        <w:rPr>
          <w:rFonts w:ascii="Times New Roman" w:eastAsia="Times New Roman" w:hAnsi="Times New Roman" w:cs="Times New Roman"/>
          <w:sz w:val="24"/>
          <w:szCs w:val="24"/>
          <w:lang w:val="en-US" w:eastAsia="pt-BR"/>
        </w:rPr>
        <w:t>average</w:t>
      </w:r>
      <w:r w:rsidR="004D46E7" w:rsidRPr="008210C1">
        <w:rPr>
          <w:rFonts w:ascii="Times New Roman" w:eastAsia="Times New Roman" w:hAnsi="Times New Roman" w:cs="Times New Roman"/>
          <w:sz w:val="24"/>
          <w:szCs w:val="24"/>
          <w:lang w:val="en-US" w:eastAsia="pt-BR"/>
        </w:rPr>
        <w:t xml:space="preserve"> </w:t>
      </w:r>
      <w:r w:rsidR="002D2426" w:rsidRPr="008210C1">
        <w:rPr>
          <w:rFonts w:ascii="Times New Roman" w:eastAsia="Times New Roman" w:hAnsi="Times New Roman" w:cs="Times New Roman"/>
          <w:sz w:val="24"/>
          <w:szCs w:val="24"/>
          <w:lang w:val="en-US" w:eastAsia="pt-BR"/>
        </w:rPr>
        <w:t>growth. Th</w:t>
      </w:r>
      <w:r w:rsidR="003C4812" w:rsidRPr="008210C1">
        <w:rPr>
          <w:rFonts w:ascii="Times New Roman" w:eastAsia="Times New Roman" w:hAnsi="Times New Roman" w:cs="Times New Roman"/>
          <w:sz w:val="24"/>
          <w:szCs w:val="24"/>
          <w:lang w:val="en-US" w:eastAsia="pt-BR"/>
        </w:rPr>
        <w:t>at</w:t>
      </w:r>
      <w:r w:rsidR="002D2426" w:rsidRPr="008210C1">
        <w:rPr>
          <w:rFonts w:ascii="Times New Roman" w:eastAsia="Times New Roman" w:hAnsi="Times New Roman" w:cs="Times New Roman"/>
          <w:sz w:val="24"/>
          <w:szCs w:val="24"/>
          <w:lang w:val="en-US" w:eastAsia="pt-BR"/>
        </w:rPr>
        <w:t xml:space="preserve"> </w:t>
      </w:r>
      <w:r w:rsidR="004B70D1" w:rsidRPr="008210C1">
        <w:rPr>
          <w:rFonts w:ascii="Times New Roman" w:eastAsia="Times New Roman" w:hAnsi="Times New Roman" w:cs="Times New Roman"/>
          <w:sz w:val="24"/>
          <w:szCs w:val="24"/>
          <w:lang w:val="en-US" w:eastAsia="pt-BR"/>
        </w:rPr>
        <w:t xml:space="preserve">period </w:t>
      </w:r>
      <w:r w:rsidR="002D2426" w:rsidRPr="008210C1">
        <w:rPr>
          <w:rFonts w:ascii="Times New Roman" w:eastAsia="Times New Roman" w:hAnsi="Times New Roman" w:cs="Times New Roman"/>
          <w:sz w:val="24"/>
          <w:szCs w:val="24"/>
          <w:lang w:val="en-US" w:eastAsia="pt-BR"/>
        </w:rPr>
        <w:t>came along w</w:t>
      </w:r>
      <w:r w:rsidR="00515E23" w:rsidRPr="008210C1">
        <w:rPr>
          <w:rFonts w:ascii="Times New Roman" w:eastAsia="Times New Roman" w:hAnsi="Times New Roman" w:cs="Times New Roman"/>
          <w:sz w:val="24"/>
          <w:szCs w:val="24"/>
          <w:lang w:val="en-US" w:eastAsia="pt-BR"/>
        </w:rPr>
        <w:t>ith a benign external scenario</w:t>
      </w:r>
      <w:r w:rsidR="003C4812" w:rsidRPr="008210C1">
        <w:rPr>
          <w:rFonts w:ascii="Times New Roman" w:eastAsia="Times New Roman" w:hAnsi="Times New Roman" w:cs="Times New Roman"/>
          <w:sz w:val="24"/>
          <w:szCs w:val="24"/>
          <w:lang w:val="en-US" w:eastAsia="pt-BR"/>
        </w:rPr>
        <w:t>,</w:t>
      </w:r>
      <w:r w:rsidR="00515E23" w:rsidRPr="008210C1">
        <w:rPr>
          <w:rFonts w:ascii="Times New Roman" w:eastAsia="Times New Roman" w:hAnsi="Times New Roman" w:cs="Times New Roman"/>
          <w:sz w:val="24"/>
          <w:szCs w:val="24"/>
          <w:lang w:val="en-US" w:eastAsia="pt-BR"/>
        </w:rPr>
        <w:t xml:space="preserve"> </w:t>
      </w:r>
      <w:r w:rsidR="002D2426" w:rsidRPr="008210C1">
        <w:rPr>
          <w:rFonts w:ascii="Times New Roman" w:eastAsia="Times New Roman" w:hAnsi="Times New Roman" w:cs="Times New Roman"/>
          <w:sz w:val="24"/>
          <w:szCs w:val="24"/>
          <w:lang w:val="en-US" w:eastAsia="pt-BR"/>
        </w:rPr>
        <w:t xml:space="preserve">which </w:t>
      </w:r>
      <w:r w:rsidR="00515E23" w:rsidRPr="008210C1">
        <w:rPr>
          <w:rFonts w:ascii="Times New Roman" w:eastAsia="Times New Roman" w:hAnsi="Times New Roman" w:cs="Times New Roman"/>
          <w:sz w:val="24"/>
          <w:szCs w:val="24"/>
          <w:lang w:val="en-US" w:eastAsia="pt-BR"/>
        </w:rPr>
        <w:t xml:space="preserve">improved </w:t>
      </w:r>
      <w:r w:rsidR="004B70D1" w:rsidRPr="008210C1">
        <w:rPr>
          <w:rFonts w:ascii="Times New Roman" w:eastAsia="Times New Roman" w:hAnsi="Times New Roman" w:cs="Times New Roman"/>
          <w:sz w:val="24"/>
          <w:szCs w:val="24"/>
          <w:lang w:val="en-US" w:eastAsia="pt-BR"/>
        </w:rPr>
        <w:t xml:space="preserve">Brazilian exports by </w:t>
      </w:r>
      <w:r w:rsidR="00515E23" w:rsidRPr="008210C1">
        <w:rPr>
          <w:rFonts w:ascii="Times New Roman" w:eastAsia="Times New Roman" w:hAnsi="Times New Roman" w:cs="Times New Roman"/>
          <w:sz w:val="24"/>
          <w:szCs w:val="24"/>
          <w:lang w:val="en-US" w:eastAsia="pt-BR"/>
        </w:rPr>
        <w:t>105%</w:t>
      </w:r>
      <w:r w:rsidR="003C4812" w:rsidRPr="008210C1">
        <w:rPr>
          <w:rFonts w:ascii="Times New Roman" w:eastAsia="Times New Roman" w:hAnsi="Times New Roman" w:cs="Times New Roman"/>
          <w:sz w:val="24"/>
          <w:szCs w:val="24"/>
          <w:lang w:val="en-US" w:eastAsia="pt-BR"/>
        </w:rPr>
        <w:t>,</w:t>
      </w:r>
      <w:r w:rsidR="00515E23" w:rsidRPr="008210C1">
        <w:rPr>
          <w:rFonts w:ascii="Times New Roman" w:eastAsia="Times New Roman" w:hAnsi="Times New Roman" w:cs="Times New Roman"/>
          <w:sz w:val="24"/>
          <w:szCs w:val="24"/>
          <w:lang w:val="en-US" w:eastAsia="pt-BR"/>
        </w:rPr>
        <w:t xml:space="preserve"> and the </w:t>
      </w:r>
      <w:r w:rsidR="002D2426" w:rsidRPr="008210C1">
        <w:rPr>
          <w:rFonts w:ascii="Times New Roman" w:eastAsia="Times New Roman" w:hAnsi="Times New Roman" w:cs="Times New Roman"/>
          <w:sz w:val="24"/>
          <w:szCs w:val="24"/>
          <w:lang w:val="en-US" w:eastAsia="pt-BR"/>
        </w:rPr>
        <w:t xml:space="preserve">trade terms </w:t>
      </w:r>
      <w:r w:rsidR="003C4812" w:rsidRPr="008210C1">
        <w:rPr>
          <w:rFonts w:ascii="Times New Roman" w:eastAsia="Times New Roman" w:hAnsi="Times New Roman" w:cs="Times New Roman"/>
          <w:sz w:val="24"/>
          <w:szCs w:val="24"/>
          <w:lang w:val="en-US" w:eastAsia="pt-BR"/>
        </w:rPr>
        <w:t>by</w:t>
      </w:r>
      <w:r w:rsidR="002D2426" w:rsidRPr="008210C1">
        <w:rPr>
          <w:rFonts w:ascii="Times New Roman" w:eastAsia="Times New Roman" w:hAnsi="Times New Roman" w:cs="Times New Roman"/>
          <w:sz w:val="24"/>
          <w:szCs w:val="24"/>
          <w:lang w:val="en-US" w:eastAsia="pt-BR"/>
        </w:rPr>
        <w:t xml:space="preserve"> 12</w:t>
      </w:r>
      <w:r w:rsidR="005A7A5F" w:rsidRPr="008210C1">
        <w:rPr>
          <w:rFonts w:ascii="Times New Roman" w:eastAsia="Times New Roman" w:hAnsi="Times New Roman" w:cs="Times New Roman"/>
          <w:sz w:val="24"/>
          <w:szCs w:val="24"/>
          <w:lang w:val="en-US" w:eastAsia="pt-BR"/>
        </w:rPr>
        <w:t>.</w:t>
      </w:r>
      <w:r w:rsidR="002D2426" w:rsidRPr="008210C1">
        <w:rPr>
          <w:rFonts w:ascii="Times New Roman" w:eastAsia="Times New Roman" w:hAnsi="Times New Roman" w:cs="Times New Roman"/>
          <w:sz w:val="24"/>
          <w:szCs w:val="24"/>
          <w:lang w:val="en-US" w:eastAsia="pt-BR"/>
        </w:rPr>
        <w:t>5%, chiefly because of the expansion</w:t>
      </w:r>
      <w:r w:rsidR="004D46E7" w:rsidRPr="008210C1">
        <w:rPr>
          <w:rFonts w:ascii="Times New Roman" w:eastAsia="Times New Roman" w:hAnsi="Times New Roman" w:cs="Times New Roman"/>
          <w:sz w:val="24"/>
          <w:szCs w:val="24"/>
          <w:lang w:val="en-US" w:eastAsia="pt-BR"/>
        </w:rPr>
        <w:t xml:space="preserve"> </w:t>
      </w:r>
      <w:r w:rsidR="005F0F79" w:rsidRPr="008210C1">
        <w:rPr>
          <w:rFonts w:ascii="Times New Roman" w:eastAsia="Times New Roman" w:hAnsi="Times New Roman" w:cs="Times New Roman"/>
          <w:sz w:val="24"/>
          <w:szCs w:val="24"/>
          <w:lang w:val="en-US" w:eastAsia="pt-BR"/>
        </w:rPr>
        <w:t>of mining and agriculture commodities’</w:t>
      </w:r>
      <w:r w:rsidR="008A6DED" w:rsidRPr="008210C1">
        <w:rPr>
          <w:rFonts w:ascii="Times New Roman" w:eastAsia="Times New Roman" w:hAnsi="Times New Roman" w:cs="Times New Roman"/>
          <w:sz w:val="24"/>
          <w:szCs w:val="24"/>
          <w:lang w:val="en-US" w:eastAsia="pt-BR"/>
        </w:rPr>
        <w:t xml:space="preserve"> international</w:t>
      </w:r>
      <w:r w:rsidR="005F0F79" w:rsidRPr="008210C1">
        <w:rPr>
          <w:rFonts w:ascii="Times New Roman" w:eastAsia="Times New Roman" w:hAnsi="Times New Roman" w:cs="Times New Roman"/>
          <w:sz w:val="24"/>
          <w:szCs w:val="24"/>
          <w:lang w:val="en-US" w:eastAsia="pt-BR"/>
        </w:rPr>
        <w:t xml:space="preserve"> prices</w:t>
      </w:r>
      <w:r w:rsidR="002D2426" w:rsidRPr="008210C1">
        <w:rPr>
          <w:rFonts w:ascii="Times New Roman" w:eastAsia="Times New Roman" w:hAnsi="Times New Roman" w:cs="Times New Roman"/>
          <w:sz w:val="24"/>
          <w:szCs w:val="24"/>
          <w:lang w:val="en-US" w:eastAsia="pt-BR"/>
        </w:rPr>
        <w:t>.</w:t>
      </w:r>
      <w:r w:rsidR="004D46E7" w:rsidRPr="008210C1">
        <w:rPr>
          <w:rFonts w:ascii="Times New Roman" w:eastAsia="Times New Roman" w:hAnsi="Times New Roman" w:cs="Times New Roman"/>
          <w:sz w:val="24"/>
          <w:szCs w:val="24"/>
          <w:lang w:val="en-US" w:eastAsia="pt-BR"/>
        </w:rPr>
        <w:t xml:space="preserve"> </w:t>
      </w:r>
      <w:r w:rsidR="002D2426" w:rsidRPr="008210C1">
        <w:rPr>
          <w:rFonts w:ascii="Times New Roman" w:eastAsia="Times New Roman" w:hAnsi="Times New Roman" w:cs="Times New Roman"/>
          <w:sz w:val="24"/>
          <w:szCs w:val="24"/>
          <w:lang w:val="en-US" w:eastAsia="pt-BR"/>
        </w:rPr>
        <w:t xml:space="preserve">In the financial sphere, international liquidity </w:t>
      </w:r>
      <w:r w:rsidR="008311FB" w:rsidRPr="008210C1">
        <w:rPr>
          <w:rFonts w:ascii="Times New Roman" w:eastAsia="Times New Roman" w:hAnsi="Times New Roman" w:cs="Times New Roman"/>
          <w:sz w:val="24"/>
          <w:szCs w:val="24"/>
          <w:lang w:val="en-US" w:eastAsia="pt-BR"/>
        </w:rPr>
        <w:t>grew</w:t>
      </w:r>
      <w:r w:rsidR="002D2426" w:rsidRPr="008210C1">
        <w:rPr>
          <w:rFonts w:ascii="Times New Roman" w:eastAsia="Times New Roman" w:hAnsi="Times New Roman" w:cs="Times New Roman"/>
          <w:sz w:val="24"/>
          <w:szCs w:val="24"/>
          <w:lang w:val="en-US" w:eastAsia="pt-BR"/>
        </w:rPr>
        <w:t xml:space="preserve"> until 2008, when the</w:t>
      </w:r>
      <w:r w:rsidR="00277911" w:rsidRPr="008210C1">
        <w:rPr>
          <w:rFonts w:ascii="Times New Roman" w:eastAsia="Times New Roman" w:hAnsi="Times New Roman" w:cs="Times New Roman"/>
          <w:sz w:val="24"/>
          <w:szCs w:val="24"/>
          <w:lang w:val="en-US" w:eastAsia="pt-BR"/>
        </w:rPr>
        <w:t xml:space="preserve"> great</w:t>
      </w:r>
      <w:r w:rsidR="002D2426" w:rsidRPr="008210C1">
        <w:rPr>
          <w:rFonts w:ascii="Times New Roman" w:eastAsia="Times New Roman" w:hAnsi="Times New Roman" w:cs="Times New Roman"/>
          <w:sz w:val="24"/>
          <w:szCs w:val="24"/>
          <w:lang w:val="en-US" w:eastAsia="pt-BR"/>
        </w:rPr>
        <w:t xml:space="preserve"> f</w:t>
      </w:r>
      <w:r w:rsidR="005F0F79" w:rsidRPr="008210C1">
        <w:rPr>
          <w:rFonts w:ascii="Times New Roman" w:eastAsia="Times New Roman" w:hAnsi="Times New Roman" w:cs="Times New Roman"/>
          <w:sz w:val="24"/>
          <w:szCs w:val="24"/>
          <w:lang w:val="en-US" w:eastAsia="pt-BR"/>
        </w:rPr>
        <w:t>inancial cris</w:t>
      </w:r>
      <w:r w:rsidR="004B70D1" w:rsidRPr="008210C1">
        <w:rPr>
          <w:rFonts w:ascii="Times New Roman" w:eastAsia="Times New Roman" w:hAnsi="Times New Roman" w:cs="Times New Roman"/>
          <w:sz w:val="24"/>
          <w:szCs w:val="24"/>
          <w:lang w:val="en-US" w:eastAsia="pt-BR"/>
        </w:rPr>
        <w:t>i</w:t>
      </w:r>
      <w:r w:rsidR="005F0F79" w:rsidRPr="008210C1">
        <w:rPr>
          <w:rFonts w:ascii="Times New Roman" w:eastAsia="Times New Roman" w:hAnsi="Times New Roman" w:cs="Times New Roman"/>
          <w:sz w:val="24"/>
          <w:szCs w:val="24"/>
          <w:lang w:val="en-US" w:eastAsia="pt-BR"/>
        </w:rPr>
        <w:t>s</w:t>
      </w:r>
      <w:r w:rsidR="00277911" w:rsidRPr="008210C1">
        <w:rPr>
          <w:rFonts w:ascii="Times New Roman" w:eastAsia="Times New Roman" w:hAnsi="Times New Roman" w:cs="Times New Roman"/>
          <w:sz w:val="24"/>
          <w:szCs w:val="24"/>
          <w:lang w:val="en-US" w:eastAsia="pt-BR"/>
        </w:rPr>
        <w:t xml:space="preserve"> (GFC)</w:t>
      </w:r>
      <w:r w:rsidR="005F0F79" w:rsidRPr="008210C1">
        <w:rPr>
          <w:rFonts w:ascii="Times New Roman" w:eastAsia="Times New Roman" w:hAnsi="Times New Roman" w:cs="Times New Roman"/>
          <w:sz w:val="24"/>
          <w:szCs w:val="24"/>
          <w:lang w:val="en-US" w:eastAsia="pt-BR"/>
        </w:rPr>
        <w:t xml:space="preserve"> emerged </w:t>
      </w:r>
      <w:r w:rsidR="004D46E7" w:rsidRPr="008210C1">
        <w:rPr>
          <w:rFonts w:ascii="Times New Roman" w:eastAsia="Times New Roman" w:hAnsi="Times New Roman" w:cs="Times New Roman"/>
          <w:sz w:val="24"/>
          <w:szCs w:val="24"/>
          <w:lang w:val="en-US" w:eastAsia="pt-BR"/>
        </w:rPr>
        <w:t>(BCB, 2017)</w:t>
      </w:r>
      <w:r w:rsidR="002D2426" w:rsidRPr="008210C1">
        <w:rPr>
          <w:rFonts w:ascii="Times New Roman" w:eastAsia="Times New Roman" w:hAnsi="Times New Roman" w:cs="Times New Roman"/>
          <w:sz w:val="24"/>
          <w:szCs w:val="24"/>
          <w:lang w:val="en-US" w:eastAsia="pt-BR"/>
        </w:rPr>
        <w:t xml:space="preserve">. </w:t>
      </w:r>
    </w:p>
    <w:p w:rsidR="00F27926" w:rsidRPr="008210C1" w:rsidRDefault="002D2426" w:rsidP="008210C1">
      <w:pPr>
        <w:spacing w:after="0" w:line="240" w:lineRule="auto"/>
        <w:ind w:firstLine="709"/>
        <w:contextualSpacing/>
        <w:jc w:val="both"/>
        <w:rPr>
          <w:rFonts w:ascii="Times New Roman" w:eastAsia="Times New Roman" w:hAnsi="Times New Roman" w:cs="Times New Roman"/>
          <w:sz w:val="24"/>
          <w:szCs w:val="24"/>
          <w:lang w:val="en-US" w:eastAsia="pt-BR"/>
        </w:rPr>
      </w:pPr>
      <w:r w:rsidRPr="008210C1">
        <w:rPr>
          <w:rFonts w:ascii="Times New Roman" w:eastAsia="Times New Roman" w:hAnsi="Times New Roman" w:cs="Times New Roman"/>
          <w:sz w:val="24"/>
          <w:szCs w:val="24"/>
          <w:lang w:val="en-US" w:eastAsia="pt-BR"/>
        </w:rPr>
        <w:t xml:space="preserve">Two main factors </w:t>
      </w:r>
      <w:r w:rsidR="003C4812" w:rsidRPr="008210C1">
        <w:rPr>
          <w:rFonts w:ascii="Times New Roman" w:eastAsia="Times New Roman" w:hAnsi="Times New Roman" w:cs="Times New Roman"/>
          <w:sz w:val="24"/>
          <w:szCs w:val="24"/>
          <w:lang w:val="en-US" w:eastAsia="pt-BR"/>
        </w:rPr>
        <w:t xml:space="preserve">influenced </w:t>
      </w:r>
      <w:r w:rsidRPr="008210C1">
        <w:rPr>
          <w:rFonts w:ascii="Times New Roman" w:eastAsia="Times New Roman" w:hAnsi="Times New Roman" w:cs="Times New Roman"/>
          <w:sz w:val="24"/>
          <w:szCs w:val="24"/>
          <w:lang w:val="en-US" w:eastAsia="pt-BR"/>
        </w:rPr>
        <w:t xml:space="preserve">the Brazilian </w:t>
      </w:r>
      <w:r w:rsidR="004B70D1" w:rsidRPr="008210C1">
        <w:rPr>
          <w:rFonts w:ascii="Times New Roman" w:eastAsia="Times New Roman" w:hAnsi="Times New Roman" w:cs="Times New Roman"/>
          <w:sz w:val="24"/>
          <w:szCs w:val="24"/>
          <w:lang w:val="en-US" w:eastAsia="pt-BR"/>
        </w:rPr>
        <w:t xml:space="preserve">growth </w:t>
      </w:r>
      <w:r w:rsidRPr="008210C1">
        <w:rPr>
          <w:rFonts w:ascii="Times New Roman" w:eastAsia="Times New Roman" w:hAnsi="Times New Roman" w:cs="Times New Roman"/>
          <w:sz w:val="24"/>
          <w:szCs w:val="24"/>
          <w:lang w:val="en-US" w:eastAsia="pt-BR"/>
        </w:rPr>
        <w:t>from 2004 onward</w:t>
      </w:r>
      <w:r w:rsidR="00A934C7" w:rsidRPr="008210C1">
        <w:rPr>
          <w:rFonts w:ascii="Times New Roman" w:eastAsia="Times New Roman" w:hAnsi="Times New Roman" w:cs="Times New Roman"/>
          <w:sz w:val="24"/>
          <w:szCs w:val="24"/>
          <w:lang w:val="en-US" w:eastAsia="pt-BR"/>
        </w:rPr>
        <w:t>:</w:t>
      </w:r>
      <w:r w:rsidRPr="008210C1">
        <w:rPr>
          <w:rFonts w:ascii="Times New Roman" w:eastAsia="Times New Roman" w:hAnsi="Times New Roman" w:cs="Times New Roman"/>
          <w:sz w:val="24"/>
          <w:szCs w:val="24"/>
          <w:lang w:val="en-US" w:eastAsia="pt-BR"/>
        </w:rPr>
        <w:t xml:space="preserve"> the </w:t>
      </w:r>
      <w:r w:rsidR="00A934C7" w:rsidRPr="008210C1">
        <w:rPr>
          <w:rFonts w:ascii="Times New Roman" w:eastAsia="Times New Roman" w:hAnsi="Times New Roman" w:cs="Times New Roman"/>
          <w:sz w:val="24"/>
          <w:szCs w:val="24"/>
          <w:lang w:val="en-US" w:eastAsia="pt-BR"/>
        </w:rPr>
        <w:t xml:space="preserve">external scenario and </w:t>
      </w:r>
      <w:r w:rsidRPr="008210C1">
        <w:rPr>
          <w:rFonts w:ascii="Times New Roman" w:eastAsia="Times New Roman" w:hAnsi="Times New Roman" w:cs="Times New Roman"/>
          <w:sz w:val="24"/>
          <w:szCs w:val="24"/>
          <w:lang w:val="en-US" w:eastAsia="pt-BR"/>
        </w:rPr>
        <w:t>the stren</w:t>
      </w:r>
      <w:r w:rsidR="00F6503D" w:rsidRPr="008210C1">
        <w:rPr>
          <w:rFonts w:ascii="Times New Roman" w:eastAsia="Times New Roman" w:hAnsi="Times New Roman" w:cs="Times New Roman"/>
          <w:sz w:val="24"/>
          <w:szCs w:val="24"/>
          <w:lang w:val="en-US" w:eastAsia="pt-BR"/>
        </w:rPr>
        <w:t xml:space="preserve">gthening of the domestic market. The latter </w:t>
      </w:r>
      <w:r w:rsidR="003C4812" w:rsidRPr="008210C1">
        <w:rPr>
          <w:rFonts w:ascii="Times New Roman" w:eastAsia="Times New Roman" w:hAnsi="Times New Roman" w:cs="Times New Roman"/>
          <w:sz w:val="24"/>
          <w:szCs w:val="24"/>
          <w:lang w:val="en-US" w:eastAsia="pt-BR"/>
        </w:rPr>
        <w:t>was due</w:t>
      </w:r>
      <w:r w:rsidR="00F6503D" w:rsidRPr="008210C1">
        <w:rPr>
          <w:rFonts w:ascii="Times New Roman" w:eastAsia="Times New Roman" w:hAnsi="Times New Roman" w:cs="Times New Roman"/>
          <w:sz w:val="24"/>
          <w:szCs w:val="24"/>
          <w:lang w:val="en-US" w:eastAsia="pt-BR"/>
        </w:rPr>
        <w:t xml:space="preserve"> to</w:t>
      </w:r>
      <w:r w:rsidR="00E53E44" w:rsidRPr="008210C1">
        <w:rPr>
          <w:rFonts w:ascii="Times New Roman" w:eastAsia="Times New Roman" w:hAnsi="Times New Roman" w:cs="Times New Roman"/>
          <w:sz w:val="24"/>
          <w:szCs w:val="24"/>
          <w:lang w:val="en-US" w:eastAsia="pt-BR"/>
        </w:rPr>
        <w:t>:</w:t>
      </w:r>
      <w:r w:rsidR="00A934C7"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w:t>
      </w:r>
      <w:proofErr w:type="spellStart"/>
      <w:r w:rsidRPr="008210C1">
        <w:rPr>
          <w:rFonts w:ascii="Times New Roman" w:eastAsia="Times New Roman" w:hAnsi="Times New Roman" w:cs="Times New Roman"/>
          <w:sz w:val="24"/>
          <w:szCs w:val="24"/>
          <w:lang w:val="en-US" w:eastAsia="pt-BR"/>
        </w:rPr>
        <w:t>i</w:t>
      </w:r>
      <w:proofErr w:type="spellEnd"/>
      <w:r w:rsidRPr="008210C1">
        <w:rPr>
          <w:rFonts w:ascii="Times New Roman" w:eastAsia="Times New Roman" w:hAnsi="Times New Roman" w:cs="Times New Roman"/>
          <w:sz w:val="24"/>
          <w:szCs w:val="24"/>
          <w:lang w:val="en-US" w:eastAsia="pt-BR"/>
        </w:rPr>
        <w:t xml:space="preserve">) the pass-through effect of the positive external </w:t>
      </w:r>
      <w:r w:rsidR="004B70D1" w:rsidRPr="008210C1">
        <w:rPr>
          <w:rFonts w:ascii="Times New Roman" w:eastAsia="Times New Roman" w:hAnsi="Times New Roman" w:cs="Times New Roman"/>
          <w:sz w:val="24"/>
          <w:szCs w:val="24"/>
          <w:lang w:val="en-US" w:eastAsia="pt-BR"/>
        </w:rPr>
        <w:t>context</w:t>
      </w:r>
      <w:r w:rsidRPr="008210C1">
        <w:rPr>
          <w:rFonts w:ascii="Times New Roman" w:eastAsia="Times New Roman" w:hAnsi="Times New Roman" w:cs="Times New Roman"/>
          <w:sz w:val="24"/>
          <w:szCs w:val="24"/>
          <w:lang w:val="en-US" w:eastAsia="pt-BR"/>
        </w:rPr>
        <w:t xml:space="preserve"> </w:t>
      </w:r>
      <w:r w:rsidR="00F6503D" w:rsidRPr="008210C1">
        <w:rPr>
          <w:rFonts w:ascii="Times New Roman" w:eastAsia="Times New Roman" w:hAnsi="Times New Roman" w:cs="Times New Roman"/>
          <w:sz w:val="24"/>
          <w:szCs w:val="24"/>
          <w:lang w:val="en-US" w:eastAsia="pt-BR"/>
        </w:rPr>
        <w:t>to</w:t>
      </w:r>
      <w:r w:rsidRPr="008210C1">
        <w:rPr>
          <w:rFonts w:ascii="Times New Roman" w:eastAsia="Times New Roman" w:hAnsi="Times New Roman" w:cs="Times New Roman"/>
          <w:sz w:val="24"/>
          <w:szCs w:val="24"/>
          <w:lang w:val="en-US" w:eastAsia="pt-BR"/>
        </w:rPr>
        <w:t xml:space="preserve"> the internal market</w:t>
      </w:r>
      <w:r w:rsidR="00F70F95" w:rsidRPr="008210C1">
        <w:rPr>
          <w:rFonts w:ascii="Times New Roman" w:eastAsia="Times New Roman" w:hAnsi="Times New Roman" w:cs="Times New Roman"/>
          <w:sz w:val="24"/>
          <w:szCs w:val="24"/>
          <w:lang w:val="en-US" w:eastAsia="pt-BR"/>
        </w:rPr>
        <w:t xml:space="preserve">; </w:t>
      </w:r>
      <w:r w:rsidR="00C115EF" w:rsidRPr="008210C1">
        <w:rPr>
          <w:rFonts w:ascii="Times New Roman" w:eastAsia="Times New Roman" w:hAnsi="Times New Roman" w:cs="Times New Roman"/>
          <w:sz w:val="24"/>
          <w:szCs w:val="24"/>
          <w:lang w:val="en-US" w:eastAsia="pt-BR"/>
        </w:rPr>
        <w:t xml:space="preserve">(ii) the </w:t>
      </w:r>
      <w:r w:rsidR="003161C6" w:rsidRPr="008210C1">
        <w:rPr>
          <w:rFonts w:ascii="Times New Roman" w:eastAsia="Times New Roman" w:hAnsi="Times New Roman" w:cs="Times New Roman"/>
          <w:sz w:val="24"/>
          <w:szCs w:val="24"/>
          <w:lang w:val="en-US" w:eastAsia="pt-BR"/>
        </w:rPr>
        <w:t xml:space="preserve">minimum wage </w:t>
      </w:r>
      <w:r w:rsidR="00C115EF" w:rsidRPr="008210C1">
        <w:rPr>
          <w:rFonts w:ascii="Times New Roman" w:eastAsia="Times New Roman" w:hAnsi="Times New Roman" w:cs="Times New Roman"/>
          <w:sz w:val="24"/>
          <w:szCs w:val="24"/>
          <w:lang w:val="en-US" w:eastAsia="pt-BR"/>
        </w:rPr>
        <w:t xml:space="preserve">real </w:t>
      </w:r>
      <w:r w:rsidRPr="008210C1">
        <w:rPr>
          <w:rFonts w:ascii="Times New Roman" w:eastAsia="Times New Roman" w:hAnsi="Times New Roman" w:cs="Times New Roman"/>
          <w:sz w:val="24"/>
          <w:szCs w:val="24"/>
          <w:lang w:val="en-US" w:eastAsia="pt-BR"/>
        </w:rPr>
        <w:t>appreciation</w:t>
      </w:r>
      <w:r w:rsidR="00F70F95"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(iii) the social policy of income transfer</w:t>
      </w:r>
      <w:r w:rsidR="00F70F95" w:rsidRPr="008210C1">
        <w:rPr>
          <w:rFonts w:ascii="Times New Roman" w:eastAsia="Times New Roman" w:hAnsi="Times New Roman" w:cs="Times New Roman"/>
          <w:sz w:val="24"/>
          <w:szCs w:val="24"/>
          <w:lang w:val="en-US" w:eastAsia="pt-BR"/>
        </w:rPr>
        <w:t xml:space="preserve">; </w:t>
      </w:r>
      <w:r w:rsidR="00B84CA6" w:rsidRPr="008210C1">
        <w:rPr>
          <w:rFonts w:ascii="Times New Roman" w:eastAsia="Times New Roman" w:hAnsi="Times New Roman" w:cs="Times New Roman"/>
          <w:sz w:val="24"/>
          <w:szCs w:val="24"/>
          <w:lang w:val="en-US" w:eastAsia="pt-BR"/>
        </w:rPr>
        <w:t>and (iv) the increase in the credit/GDP ratio</w:t>
      </w:r>
      <w:r w:rsidRPr="008210C1">
        <w:rPr>
          <w:rFonts w:ascii="Times New Roman" w:eastAsia="Times New Roman" w:hAnsi="Times New Roman" w:cs="Times New Roman"/>
          <w:sz w:val="24"/>
          <w:szCs w:val="24"/>
          <w:lang w:val="en-US" w:eastAsia="pt-BR"/>
        </w:rPr>
        <w:t>.</w:t>
      </w:r>
      <w:r w:rsidR="00BB2A48" w:rsidRPr="008210C1">
        <w:rPr>
          <w:rFonts w:ascii="Times New Roman" w:eastAsia="Times New Roman" w:hAnsi="Times New Roman" w:cs="Times New Roman"/>
          <w:sz w:val="24"/>
          <w:szCs w:val="24"/>
          <w:lang w:val="en-US" w:eastAsia="pt-BR"/>
        </w:rPr>
        <w:t xml:space="preserve"> </w:t>
      </w:r>
      <w:r w:rsidR="00C115EF" w:rsidRPr="008210C1">
        <w:rPr>
          <w:rFonts w:ascii="Times New Roman" w:eastAsia="Times New Roman" w:hAnsi="Times New Roman" w:cs="Times New Roman"/>
          <w:sz w:val="24"/>
          <w:szCs w:val="24"/>
          <w:lang w:val="en-US" w:eastAsia="pt-BR"/>
        </w:rPr>
        <w:t>T</w:t>
      </w:r>
      <w:r w:rsidRPr="008210C1">
        <w:rPr>
          <w:rFonts w:ascii="Times New Roman" w:eastAsia="Times New Roman" w:hAnsi="Times New Roman" w:cs="Times New Roman"/>
          <w:sz w:val="24"/>
          <w:szCs w:val="24"/>
          <w:lang w:val="en-US" w:eastAsia="pt-BR"/>
        </w:rPr>
        <w:t>hese elements fortified households’ consumption</w:t>
      </w:r>
      <w:r w:rsidR="00C115EF" w:rsidRPr="008210C1">
        <w:rPr>
          <w:rFonts w:ascii="Times New Roman" w:eastAsia="Times New Roman" w:hAnsi="Times New Roman" w:cs="Times New Roman"/>
          <w:sz w:val="24"/>
          <w:szCs w:val="24"/>
          <w:lang w:val="en-US" w:eastAsia="pt-BR"/>
        </w:rPr>
        <w:t>,</w:t>
      </w:r>
      <w:r w:rsidR="00BB2A48"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xml:space="preserve">which </w:t>
      </w:r>
      <w:r w:rsidR="00C115EF" w:rsidRPr="008210C1">
        <w:rPr>
          <w:rFonts w:ascii="Times New Roman" w:eastAsia="Times New Roman" w:hAnsi="Times New Roman" w:cs="Times New Roman"/>
          <w:sz w:val="24"/>
          <w:szCs w:val="24"/>
          <w:lang w:val="en-US" w:eastAsia="pt-BR"/>
        </w:rPr>
        <w:t>met</w:t>
      </w:r>
      <w:r w:rsidRPr="008210C1">
        <w:rPr>
          <w:rFonts w:ascii="Times New Roman" w:eastAsia="Times New Roman" w:hAnsi="Times New Roman" w:cs="Times New Roman"/>
          <w:sz w:val="24"/>
          <w:szCs w:val="24"/>
          <w:lang w:val="en-US" w:eastAsia="pt-BR"/>
        </w:rPr>
        <w:t xml:space="preserve"> the installed</w:t>
      </w:r>
      <w:r w:rsidR="00F52737" w:rsidRPr="008210C1">
        <w:rPr>
          <w:rFonts w:ascii="Times New Roman" w:eastAsia="Times New Roman" w:hAnsi="Times New Roman" w:cs="Times New Roman"/>
          <w:sz w:val="24"/>
          <w:szCs w:val="24"/>
          <w:lang w:val="en-US" w:eastAsia="pt-BR"/>
        </w:rPr>
        <w:t xml:space="preserve"> productive</w:t>
      </w:r>
      <w:r w:rsidRPr="008210C1">
        <w:rPr>
          <w:rFonts w:ascii="Times New Roman" w:eastAsia="Times New Roman" w:hAnsi="Times New Roman" w:cs="Times New Roman"/>
          <w:sz w:val="24"/>
          <w:szCs w:val="24"/>
          <w:lang w:val="en-US" w:eastAsia="pt-BR"/>
        </w:rPr>
        <w:t xml:space="preserve"> capacity </w:t>
      </w:r>
      <w:r w:rsidR="00F52737" w:rsidRPr="008210C1">
        <w:rPr>
          <w:rFonts w:ascii="Times New Roman" w:eastAsia="Times New Roman" w:hAnsi="Times New Roman" w:cs="Times New Roman"/>
          <w:sz w:val="24"/>
          <w:szCs w:val="24"/>
          <w:lang w:val="en-US" w:eastAsia="pt-BR"/>
        </w:rPr>
        <w:t xml:space="preserve">utilized in the manufacturing industry </w:t>
      </w:r>
      <w:r w:rsidRPr="008210C1">
        <w:rPr>
          <w:rFonts w:ascii="Times New Roman" w:eastAsia="Times New Roman" w:hAnsi="Times New Roman" w:cs="Times New Roman"/>
          <w:sz w:val="24"/>
          <w:szCs w:val="24"/>
          <w:lang w:val="en-US" w:eastAsia="pt-BR"/>
        </w:rPr>
        <w:t>by 7</w:t>
      </w:r>
      <w:r w:rsidR="0050162E" w:rsidRPr="008210C1">
        <w:rPr>
          <w:rFonts w:ascii="Times New Roman" w:eastAsia="Times New Roman" w:hAnsi="Times New Roman" w:cs="Times New Roman"/>
          <w:sz w:val="24"/>
          <w:szCs w:val="24"/>
          <w:lang w:val="en-US" w:eastAsia="pt-BR"/>
        </w:rPr>
        <w:t>9</w:t>
      </w:r>
      <w:r w:rsidRPr="008210C1">
        <w:rPr>
          <w:rFonts w:ascii="Times New Roman" w:eastAsia="Times New Roman" w:hAnsi="Times New Roman" w:cs="Times New Roman"/>
          <w:sz w:val="24"/>
          <w:szCs w:val="24"/>
          <w:lang w:val="en-US" w:eastAsia="pt-BR"/>
        </w:rPr>
        <w:t>.</w:t>
      </w:r>
      <w:r w:rsidR="0050162E" w:rsidRPr="008210C1">
        <w:rPr>
          <w:rFonts w:ascii="Times New Roman" w:eastAsia="Times New Roman" w:hAnsi="Times New Roman" w:cs="Times New Roman"/>
          <w:sz w:val="24"/>
          <w:szCs w:val="24"/>
          <w:lang w:val="en-US" w:eastAsia="pt-BR"/>
        </w:rPr>
        <w:t>7</w:t>
      </w:r>
      <w:r w:rsidRPr="008210C1">
        <w:rPr>
          <w:rFonts w:ascii="Times New Roman" w:eastAsia="Times New Roman" w:hAnsi="Times New Roman" w:cs="Times New Roman"/>
          <w:sz w:val="24"/>
          <w:szCs w:val="24"/>
          <w:lang w:val="en-US" w:eastAsia="pt-BR"/>
        </w:rPr>
        <w:t>% in</w:t>
      </w:r>
      <w:r w:rsidR="004D46E7"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2003</w:t>
      </w:r>
      <w:r w:rsidR="00F6503D" w:rsidRPr="008210C1">
        <w:rPr>
          <w:rFonts w:ascii="Times New Roman" w:eastAsia="Times New Roman" w:hAnsi="Times New Roman" w:cs="Times New Roman"/>
          <w:sz w:val="24"/>
          <w:szCs w:val="24"/>
          <w:lang w:val="en-US" w:eastAsia="pt-BR"/>
        </w:rPr>
        <w:t xml:space="preserve"> whereas</w:t>
      </w:r>
      <w:r w:rsidR="00737D8D" w:rsidRPr="008210C1">
        <w:rPr>
          <w:rFonts w:ascii="Times New Roman" w:eastAsia="Times New Roman" w:hAnsi="Times New Roman" w:cs="Times New Roman"/>
          <w:sz w:val="24"/>
          <w:szCs w:val="24"/>
          <w:lang w:val="en-US" w:eastAsia="pt-BR"/>
        </w:rPr>
        <w:t xml:space="preserve"> </w:t>
      </w:r>
      <w:r w:rsidR="00F6503D" w:rsidRPr="008210C1">
        <w:rPr>
          <w:rFonts w:ascii="Times New Roman" w:eastAsia="Times New Roman" w:hAnsi="Times New Roman" w:cs="Times New Roman"/>
          <w:sz w:val="24"/>
          <w:szCs w:val="24"/>
          <w:lang w:val="en-US" w:eastAsia="pt-BR"/>
        </w:rPr>
        <w:t>i</w:t>
      </w:r>
      <w:r w:rsidR="00737D8D" w:rsidRPr="008210C1">
        <w:rPr>
          <w:rFonts w:ascii="Times New Roman" w:eastAsia="Times New Roman" w:hAnsi="Times New Roman" w:cs="Times New Roman"/>
          <w:sz w:val="24"/>
          <w:szCs w:val="24"/>
          <w:lang w:val="en-US" w:eastAsia="pt-BR"/>
        </w:rPr>
        <w:t xml:space="preserve">n 2008, </w:t>
      </w:r>
      <w:r w:rsidR="00737D8D" w:rsidRPr="008210C1">
        <w:rPr>
          <w:rFonts w:ascii="Times New Roman" w:hAnsi="Times New Roman" w:cs="Times New Roman"/>
          <w:sz w:val="24"/>
          <w:szCs w:val="24"/>
          <w:lang w:val="en-US"/>
        </w:rPr>
        <w:t xml:space="preserve">when </w:t>
      </w:r>
      <w:r w:rsidR="00E85278" w:rsidRPr="008210C1">
        <w:rPr>
          <w:rFonts w:ascii="Times New Roman" w:hAnsi="Times New Roman" w:cs="Times New Roman"/>
          <w:sz w:val="24"/>
          <w:szCs w:val="24"/>
          <w:lang w:val="en-US"/>
        </w:rPr>
        <w:t xml:space="preserve">the GFC started affecting </w:t>
      </w:r>
      <w:r w:rsidR="00F6503D" w:rsidRPr="008210C1">
        <w:rPr>
          <w:rFonts w:ascii="Times New Roman" w:hAnsi="Times New Roman" w:cs="Times New Roman"/>
          <w:sz w:val="24"/>
          <w:szCs w:val="24"/>
          <w:lang w:val="en-US"/>
        </w:rPr>
        <w:t>Brazil</w:t>
      </w:r>
      <w:r w:rsidR="00737D8D" w:rsidRPr="008210C1">
        <w:rPr>
          <w:rFonts w:ascii="Times New Roman" w:hAnsi="Times New Roman" w:cs="Times New Roman"/>
          <w:sz w:val="24"/>
          <w:szCs w:val="24"/>
          <w:lang w:val="en-US"/>
        </w:rPr>
        <w:t xml:space="preserve">, </w:t>
      </w:r>
      <w:r w:rsidR="00F52737" w:rsidRPr="008210C1">
        <w:rPr>
          <w:rFonts w:ascii="Times New Roman" w:hAnsi="Times New Roman" w:cs="Times New Roman"/>
          <w:sz w:val="24"/>
          <w:szCs w:val="24"/>
          <w:lang w:val="en-US"/>
        </w:rPr>
        <w:t>its</w:t>
      </w:r>
      <w:r w:rsidR="00737D8D" w:rsidRPr="008210C1">
        <w:rPr>
          <w:rFonts w:ascii="Times New Roman" w:hAnsi="Times New Roman" w:cs="Times New Roman"/>
          <w:sz w:val="24"/>
          <w:szCs w:val="24"/>
          <w:lang w:val="en-US"/>
        </w:rPr>
        <w:t xml:space="preserve"> </w:t>
      </w:r>
      <w:r w:rsidR="00F6503D" w:rsidRPr="008210C1">
        <w:rPr>
          <w:rFonts w:ascii="Times New Roman" w:hAnsi="Times New Roman" w:cs="Times New Roman"/>
          <w:sz w:val="24"/>
          <w:szCs w:val="24"/>
          <w:lang w:val="en-US"/>
        </w:rPr>
        <w:t>occupation</w:t>
      </w:r>
      <w:r w:rsidR="00737D8D" w:rsidRPr="008210C1">
        <w:rPr>
          <w:rFonts w:ascii="Times New Roman" w:hAnsi="Times New Roman" w:cs="Times New Roman"/>
          <w:sz w:val="24"/>
          <w:szCs w:val="24"/>
          <w:lang w:val="en-US"/>
        </w:rPr>
        <w:t xml:space="preserve"> </w:t>
      </w:r>
      <w:r w:rsidR="00F6503D" w:rsidRPr="008210C1">
        <w:rPr>
          <w:rFonts w:ascii="Times New Roman" w:hAnsi="Times New Roman" w:cs="Times New Roman"/>
          <w:sz w:val="24"/>
          <w:szCs w:val="24"/>
          <w:lang w:val="en-US"/>
        </w:rPr>
        <w:t xml:space="preserve">was </w:t>
      </w:r>
      <w:r w:rsidR="00737D8D" w:rsidRPr="008210C1">
        <w:rPr>
          <w:rFonts w:ascii="Times New Roman" w:hAnsi="Times New Roman" w:cs="Times New Roman"/>
          <w:sz w:val="24"/>
          <w:szCs w:val="24"/>
          <w:lang w:val="en-US"/>
        </w:rPr>
        <w:t>around 83%</w:t>
      </w:r>
      <w:r w:rsidR="00F6503D" w:rsidRPr="008210C1">
        <w:rPr>
          <w:rFonts w:ascii="Times New Roman" w:hAnsi="Times New Roman" w:cs="Times New Roman"/>
          <w:sz w:val="24"/>
          <w:szCs w:val="24"/>
          <w:lang w:val="en-US"/>
        </w:rPr>
        <w:t xml:space="preserve"> (</w:t>
      </w:r>
      <w:proofErr w:type="spellStart"/>
      <w:r w:rsidR="00F6503D" w:rsidRPr="008210C1">
        <w:rPr>
          <w:rFonts w:ascii="Times New Roman" w:hAnsi="Times New Roman" w:cs="Times New Roman"/>
          <w:sz w:val="24"/>
          <w:szCs w:val="24"/>
          <w:lang w:val="en-US"/>
        </w:rPr>
        <w:t>Ipedata</w:t>
      </w:r>
      <w:proofErr w:type="spellEnd"/>
      <w:r w:rsidR="00F6503D" w:rsidRPr="008210C1">
        <w:rPr>
          <w:rFonts w:ascii="Times New Roman" w:hAnsi="Times New Roman" w:cs="Times New Roman"/>
          <w:sz w:val="24"/>
          <w:szCs w:val="24"/>
          <w:lang w:val="en-US"/>
        </w:rPr>
        <w:t>, 2017)</w:t>
      </w:r>
      <w:r w:rsidR="00737D8D" w:rsidRPr="008210C1">
        <w:rPr>
          <w:rFonts w:ascii="Times New Roman" w:hAnsi="Times New Roman" w:cs="Times New Roman"/>
          <w:sz w:val="24"/>
          <w:szCs w:val="24"/>
          <w:lang w:val="en-US"/>
        </w:rPr>
        <w:t xml:space="preserve">, a </w:t>
      </w:r>
      <w:r w:rsidR="00F6503D" w:rsidRPr="008210C1">
        <w:rPr>
          <w:rFonts w:ascii="Times New Roman" w:hAnsi="Times New Roman" w:cs="Times New Roman"/>
          <w:sz w:val="24"/>
          <w:szCs w:val="24"/>
          <w:lang w:val="en-US"/>
        </w:rPr>
        <w:t>level</w:t>
      </w:r>
      <w:r w:rsidR="00737D8D" w:rsidRPr="008210C1">
        <w:rPr>
          <w:rFonts w:ascii="Times New Roman" w:hAnsi="Times New Roman" w:cs="Times New Roman"/>
          <w:sz w:val="24"/>
          <w:szCs w:val="24"/>
          <w:lang w:val="en-US"/>
        </w:rPr>
        <w:t xml:space="preserve"> incapable of exerting </w:t>
      </w:r>
      <w:r w:rsidR="00F6503D" w:rsidRPr="008210C1">
        <w:rPr>
          <w:rFonts w:ascii="Times New Roman" w:hAnsi="Times New Roman" w:cs="Times New Roman"/>
          <w:sz w:val="24"/>
          <w:szCs w:val="24"/>
          <w:lang w:val="en-US"/>
        </w:rPr>
        <w:t xml:space="preserve">inflationary </w:t>
      </w:r>
      <w:r w:rsidR="00737D8D" w:rsidRPr="008210C1">
        <w:rPr>
          <w:rFonts w:ascii="Times New Roman" w:hAnsi="Times New Roman" w:cs="Times New Roman"/>
          <w:sz w:val="24"/>
          <w:szCs w:val="24"/>
          <w:lang w:val="en-US"/>
        </w:rPr>
        <w:t>pressures o</w:t>
      </w:r>
      <w:r w:rsidR="00F6503D" w:rsidRPr="008210C1">
        <w:rPr>
          <w:rFonts w:ascii="Times New Roman" w:hAnsi="Times New Roman" w:cs="Times New Roman"/>
          <w:sz w:val="24"/>
          <w:szCs w:val="24"/>
          <w:lang w:val="en-US"/>
        </w:rPr>
        <w:t>n</w:t>
      </w:r>
      <w:r w:rsidR="00737D8D" w:rsidRPr="008210C1">
        <w:rPr>
          <w:rFonts w:ascii="Times New Roman" w:hAnsi="Times New Roman" w:cs="Times New Roman"/>
          <w:sz w:val="24"/>
          <w:szCs w:val="24"/>
          <w:lang w:val="en-US"/>
        </w:rPr>
        <w:t xml:space="preserve"> the </w:t>
      </w:r>
      <w:r w:rsidR="00F52737" w:rsidRPr="008210C1">
        <w:rPr>
          <w:rFonts w:ascii="Times New Roman" w:hAnsi="Times New Roman" w:cs="Times New Roman"/>
          <w:sz w:val="24"/>
          <w:szCs w:val="24"/>
          <w:lang w:val="en-US"/>
        </w:rPr>
        <w:t xml:space="preserve">labor </w:t>
      </w:r>
      <w:r w:rsidR="00737D8D" w:rsidRPr="008210C1">
        <w:rPr>
          <w:rFonts w:ascii="Times New Roman" w:hAnsi="Times New Roman" w:cs="Times New Roman"/>
          <w:sz w:val="24"/>
          <w:szCs w:val="24"/>
          <w:lang w:val="en-US"/>
        </w:rPr>
        <w:t>market.</w:t>
      </w:r>
      <w:r w:rsidR="0050162E" w:rsidRPr="008210C1">
        <w:rPr>
          <w:rFonts w:ascii="Times New Roman" w:eastAsia="Times New Roman" w:hAnsi="Times New Roman" w:cs="Times New Roman"/>
          <w:sz w:val="24"/>
          <w:szCs w:val="24"/>
          <w:lang w:val="en-US" w:eastAsia="pt-BR"/>
        </w:rPr>
        <w:t xml:space="preserve"> </w:t>
      </w:r>
      <w:r w:rsidR="004B70D1" w:rsidRPr="008210C1">
        <w:rPr>
          <w:rFonts w:ascii="Times New Roman" w:eastAsia="Times New Roman" w:hAnsi="Times New Roman" w:cs="Times New Roman"/>
          <w:sz w:val="24"/>
          <w:szCs w:val="24"/>
          <w:lang w:val="en-US" w:eastAsia="pt-BR"/>
        </w:rPr>
        <w:t>Reasons (ii) and (iii) arose as Lula da Silva’s government</w:t>
      </w:r>
      <w:r w:rsidRPr="008210C1">
        <w:rPr>
          <w:rFonts w:ascii="Times New Roman" w:eastAsia="Times New Roman" w:hAnsi="Times New Roman" w:cs="Times New Roman"/>
          <w:sz w:val="24"/>
          <w:szCs w:val="24"/>
          <w:lang w:val="en-US" w:eastAsia="pt-BR"/>
        </w:rPr>
        <w:t xml:space="preserve"> </w:t>
      </w:r>
      <w:r w:rsidR="004B70D1" w:rsidRPr="008210C1">
        <w:rPr>
          <w:rFonts w:ascii="Times New Roman" w:eastAsia="Times New Roman" w:hAnsi="Times New Roman" w:cs="Times New Roman"/>
          <w:sz w:val="24"/>
          <w:szCs w:val="24"/>
          <w:lang w:val="en-US" w:eastAsia="pt-BR"/>
        </w:rPr>
        <w:t>(</w:t>
      </w:r>
      <w:r w:rsidRPr="008210C1">
        <w:rPr>
          <w:rFonts w:ascii="Times New Roman" w:eastAsia="Times New Roman" w:hAnsi="Times New Roman" w:cs="Times New Roman"/>
          <w:sz w:val="24"/>
          <w:szCs w:val="24"/>
          <w:lang w:val="en-US" w:eastAsia="pt-BR"/>
        </w:rPr>
        <w:t>2003</w:t>
      </w:r>
      <w:r w:rsidR="004B70D1" w:rsidRPr="008210C1">
        <w:rPr>
          <w:rFonts w:ascii="Times New Roman" w:eastAsia="Times New Roman" w:hAnsi="Times New Roman" w:cs="Times New Roman"/>
          <w:sz w:val="24"/>
          <w:szCs w:val="24"/>
          <w:lang w:val="en-US" w:eastAsia="pt-BR"/>
        </w:rPr>
        <w:t>-2010)</w:t>
      </w:r>
      <w:r w:rsidRPr="008210C1">
        <w:rPr>
          <w:rFonts w:ascii="Times New Roman" w:eastAsia="Times New Roman" w:hAnsi="Times New Roman" w:cs="Times New Roman"/>
          <w:sz w:val="24"/>
          <w:szCs w:val="24"/>
          <w:lang w:val="en-US" w:eastAsia="pt-BR"/>
        </w:rPr>
        <w:t xml:space="preserve"> widened old</w:t>
      </w:r>
      <w:r w:rsidR="00BB2A48"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xml:space="preserve">social and wage policies to </w:t>
      </w:r>
      <w:r w:rsidR="007A402E" w:rsidRPr="008210C1">
        <w:rPr>
          <w:rFonts w:ascii="Times New Roman" w:eastAsia="Times New Roman" w:hAnsi="Times New Roman" w:cs="Times New Roman"/>
          <w:sz w:val="24"/>
          <w:szCs w:val="24"/>
          <w:lang w:val="en-US" w:eastAsia="pt-BR"/>
        </w:rPr>
        <w:t>enhance</w:t>
      </w:r>
      <w:r w:rsidR="004B70D1" w:rsidRPr="008210C1">
        <w:rPr>
          <w:rFonts w:ascii="Times New Roman" w:eastAsia="Times New Roman" w:hAnsi="Times New Roman" w:cs="Times New Roman"/>
          <w:sz w:val="24"/>
          <w:szCs w:val="24"/>
          <w:lang w:val="en-US" w:eastAsia="pt-BR"/>
        </w:rPr>
        <w:t xml:space="preserve"> the internal market</w:t>
      </w:r>
      <w:r w:rsidR="007A402E" w:rsidRPr="008210C1">
        <w:rPr>
          <w:rFonts w:ascii="Times New Roman" w:eastAsia="Times New Roman" w:hAnsi="Times New Roman" w:cs="Times New Roman"/>
          <w:sz w:val="24"/>
          <w:szCs w:val="24"/>
          <w:lang w:val="en-US" w:eastAsia="pt-BR"/>
        </w:rPr>
        <w:t xml:space="preserve"> and</w:t>
      </w:r>
      <w:r w:rsidR="004B70D1" w:rsidRPr="008210C1">
        <w:rPr>
          <w:rFonts w:ascii="Times New Roman" w:eastAsia="Times New Roman" w:hAnsi="Times New Roman" w:cs="Times New Roman"/>
          <w:sz w:val="24"/>
          <w:szCs w:val="24"/>
          <w:lang w:val="en-US" w:eastAsia="pt-BR"/>
        </w:rPr>
        <w:t xml:space="preserve"> </w:t>
      </w:r>
      <w:r w:rsidRPr="008210C1">
        <w:rPr>
          <w:rFonts w:ascii="Times New Roman" w:eastAsia="Times New Roman" w:hAnsi="Times New Roman" w:cs="Times New Roman"/>
          <w:sz w:val="24"/>
          <w:szCs w:val="24"/>
          <w:lang w:val="en-US" w:eastAsia="pt-BR"/>
        </w:rPr>
        <w:t xml:space="preserve">reduce poverty and income </w:t>
      </w:r>
      <w:r w:rsidR="007A402E" w:rsidRPr="008210C1">
        <w:rPr>
          <w:rFonts w:ascii="Times New Roman" w:eastAsia="Times New Roman" w:hAnsi="Times New Roman" w:cs="Times New Roman"/>
          <w:sz w:val="24"/>
          <w:szCs w:val="24"/>
          <w:lang w:val="en-US" w:eastAsia="pt-BR"/>
        </w:rPr>
        <w:t xml:space="preserve">inequality; </w:t>
      </w:r>
      <w:r w:rsidR="00785016" w:rsidRPr="008210C1">
        <w:rPr>
          <w:rFonts w:ascii="Times New Roman" w:eastAsia="Times New Roman" w:hAnsi="Times New Roman" w:cs="Times New Roman"/>
          <w:sz w:val="24"/>
          <w:szCs w:val="24"/>
          <w:lang w:val="en-US" w:eastAsia="pt-BR"/>
        </w:rPr>
        <w:t>(iv) occurred as</w:t>
      </w:r>
      <w:r w:rsidRPr="008210C1">
        <w:rPr>
          <w:rFonts w:ascii="Times New Roman" w:eastAsia="Times New Roman" w:hAnsi="Times New Roman" w:cs="Times New Roman"/>
          <w:sz w:val="24"/>
          <w:szCs w:val="24"/>
          <w:lang w:val="en-US" w:eastAsia="pt-BR"/>
        </w:rPr>
        <w:t xml:space="preserve"> the </w:t>
      </w:r>
      <w:r w:rsidR="001F5B58" w:rsidRPr="008210C1">
        <w:rPr>
          <w:rFonts w:ascii="Times New Roman" w:eastAsia="Times New Roman" w:hAnsi="Times New Roman" w:cs="Times New Roman"/>
          <w:sz w:val="24"/>
          <w:szCs w:val="24"/>
          <w:lang w:val="en-US" w:eastAsia="pt-BR"/>
        </w:rPr>
        <w:t>government</w:t>
      </w:r>
      <w:r w:rsidRPr="008210C1">
        <w:rPr>
          <w:rFonts w:ascii="Times New Roman" w:eastAsia="Times New Roman" w:hAnsi="Times New Roman" w:cs="Times New Roman"/>
          <w:sz w:val="24"/>
          <w:szCs w:val="24"/>
          <w:lang w:val="en-US" w:eastAsia="pt-BR"/>
        </w:rPr>
        <w:t xml:space="preserve"> implemented credit </w:t>
      </w:r>
      <w:r w:rsidR="00785016" w:rsidRPr="008210C1">
        <w:rPr>
          <w:rFonts w:ascii="Times New Roman" w:eastAsia="Times New Roman" w:hAnsi="Times New Roman" w:cs="Times New Roman"/>
          <w:sz w:val="24"/>
          <w:szCs w:val="24"/>
          <w:lang w:val="en-US" w:eastAsia="pt-BR"/>
        </w:rPr>
        <w:t>policies</w:t>
      </w:r>
      <w:r w:rsidRPr="008210C1">
        <w:rPr>
          <w:rFonts w:ascii="Times New Roman" w:eastAsia="Times New Roman" w:hAnsi="Times New Roman" w:cs="Times New Roman"/>
          <w:sz w:val="24"/>
          <w:szCs w:val="24"/>
          <w:lang w:val="en-US" w:eastAsia="pt-BR"/>
        </w:rPr>
        <w:t xml:space="preserve">, </w:t>
      </w:r>
      <w:r w:rsidR="007A402E" w:rsidRPr="008210C1">
        <w:rPr>
          <w:rFonts w:ascii="Times New Roman" w:eastAsia="Times New Roman" w:hAnsi="Times New Roman" w:cs="Times New Roman"/>
          <w:sz w:val="24"/>
          <w:szCs w:val="24"/>
          <w:lang w:val="en-US" w:eastAsia="pt-BR"/>
        </w:rPr>
        <w:t>lifting</w:t>
      </w:r>
      <w:r w:rsidRPr="008210C1">
        <w:rPr>
          <w:rFonts w:ascii="Times New Roman" w:eastAsia="Times New Roman" w:hAnsi="Times New Roman" w:cs="Times New Roman"/>
          <w:sz w:val="24"/>
          <w:szCs w:val="24"/>
          <w:lang w:val="en-US" w:eastAsia="pt-BR"/>
        </w:rPr>
        <w:t xml:space="preserve"> the credit/GDP ratio </w:t>
      </w:r>
      <w:r w:rsidR="00877E06" w:rsidRPr="008210C1">
        <w:rPr>
          <w:rFonts w:ascii="Times New Roman" w:eastAsia="Times New Roman" w:hAnsi="Times New Roman" w:cs="Times New Roman"/>
          <w:sz w:val="24"/>
          <w:szCs w:val="24"/>
          <w:lang w:val="en-US" w:eastAsia="pt-BR"/>
        </w:rPr>
        <w:t xml:space="preserve">from 25% to </w:t>
      </w:r>
      <w:r w:rsidRPr="008210C1">
        <w:rPr>
          <w:rFonts w:ascii="Times New Roman" w:eastAsia="Times New Roman" w:hAnsi="Times New Roman" w:cs="Times New Roman"/>
          <w:sz w:val="24"/>
          <w:szCs w:val="24"/>
          <w:lang w:val="en-US" w:eastAsia="pt-BR"/>
        </w:rPr>
        <w:t xml:space="preserve">40% </w:t>
      </w:r>
      <w:r w:rsidR="00877E06" w:rsidRPr="008210C1">
        <w:rPr>
          <w:rFonts w:ascii="Times New Roman" w:eastAsia="Times New Roman" w:hAnsi="Times New Roman" w:cs="Times New Roman"/>
          <w:sz w:val="24"/>
          <w:szCs w:val="24"/>
          <w:lang w:val="en-US" w:eastAsia="pt-BR"/>
        </w:rPr>
        <w:t>over 2003-2008 (</w:t>
      </w:r>
      <w:proofErr w:type="spellStart"/>
      <w:r w:rsidR="00877E06" w:rsidRPr="008210C1">
        <w:rPr>
          <w:rFonts w:ascii="Times New Roman" w:eastAsia="Times New Roman" w:hAnsi="Times New Roman" w:cs="Times New Roman"/>
          <w:sz w:val="24"/>
          <w:szCs w:val="24"/>
          <w:lang w:val="en-US" w:eastAsia="pt-BR"/>
        </w:rPr>
        <w:t>Ipeadata</w:t>
      </w:r>
      <w:proofErr w:type="spellEnd"/>
      <w:r w:rsidR="00877E06" w:rsidRPr="008210C1">
        <w:rPr>
          <w:rFonts w:ascii="Times New Roman" w:eastAsia="Times New Roman" w:hAnsi="Times New Roman" w:cs="Times New Roman"/>
          <w:sz w:val="24"/>
          <w:szCs w:val="24"/>
          <w:lang w:val="en-US" w:eastAsia="pt-BR"/>
        </w:rPr>
        <w:t xml:space="preserve">, 2017). </w:t>
      </w:r>
    </w:p>
    <w:p w:rsidR="004812EE" w:rsidRPr="008210C1" w:rsidRDefault="008311FB" w:rsidP="008210C1">
      <w:pPr>
        <w:spacing w:after="0" w:line="240" w:lineRule="auto"/>
        <w:ind w:firstLine="709"/>
        <w:contextualSpacing/>
        <w:jc w:val="both"/>
        <w:rPr>
          <w:rFonts w:ascii="Times New Roman" w:hAnsi="Times New Roman" w:cs="Times New Roman"/>
          <w:sz w:val="24"/>
          <w:szCs w:val="24"/>
          <w:lang w:val="en-US"/>
        </w:rPr>
      </w:pPr>
      <w:r w:rsidRPr="008210C1">
        <w:rPr>
          <w:rFonts w:ascii="Times New Roman" w:eastAsia="Times New Roman" w:hAnsi="Times New Roman" w:cs="Times New Roman"/>
          <w:sz w:val="24"/>
          <w:szCs w:val="24"/>
          <w:lang w:val="en-US" w:eastAsia="pt-BR"/>
        </w:rPr>
        <w:t>H</w:t>
      </w:r>
      <w:r w:rsidR="002D2426" w:rsidRPr="008210C1">
        <w:rPr>
          <w:rFonts w:ascii="Times New Roman" w:eastAsia="Times New Roman" w:hAnsi="Times New Roman" w:cs="Times New Roman"/>
          <w:sz w:val="24"/>
          <w:szCs w:val="24"/>
          <w:lang w:val="en-US" w:eastAsia="pt-BR"/>
        </w:rPr>
        <w:t>owever, Brazil</w:t>
      </w:r>
      <w:r w:rsidRPr="008210C1">
        <w:rPr>
          <w:rFonts w:ascii="Times New Roman" w:eastAsia="Times New Roman" w:hAnsi="Times New Roman" w:cs="Times New Roman"/>
          <w:sz w:val="24"/>
          <w:szCs w:val="24"/>
          <w:lang w:val="en-US" w:eastAsia="pt-BR"/>
        </w:rPr>
        <w:t>’s</w:t>
      </w:r>
      <w:r w:rsidR="002D2426" w:rsidRPr="008210C1">
        <w:rPr>
          <w:rFonts w:ascii="Times New Roman" w:eastAsia="Times New Roman" w:hAnsi="Times New Roman" w:cs="Times New Roman"/>
          <w:sz w:val="24"/>
          <w:szCs w:val="24"/>
          <w:lang w:val="en-US" w:eastAsia="pt-BR"/>
        </w:rPr>
        <w:t xml:space="preserve"> boom was not investment driven, but export- and consumption-led. Over 2004-2008, the investment rate widened </w:t>
      </w:r>
      <w:r w:rsidR="00F70F95" w:rsidRPr="008210C1">
        <w:rPr>
          <w:rFonts w:ascii="Times New Roman" w:eastAsia="Times New Roman" w:hAnsi="Times New Roman" w:cs="Times New Roman"/>
          <w:sz w:val="24"/>
          <w:szCs w:val="24"/>
          <w:lang w:val="en-US" w:eastAsia="pt-BR"/>
        </w:rPr>
        <w:t>by</w:t>
      </w:r>
      <w:r w:rsidR="00DC5B30" w:rsidRPr="008210C1">
        <w:rPr>
          <w:rFonts w:ascii="Times New Roman" w:eastAsia="Times New Roman" w:hAnsi="Times New Roman" w:cs="Times New Roman"/>
          <w:sz w:val="24"/>
          <w:szCs w:val="24"/>
          <w:lang w:val="en-US" w:eastAsia="pt-BR"/>
        </w:rPr>
        <w:t xml:space="preserve"> </w:t>
      </w:r>
      <w:r w:rsidR="00C44CC6" w:rsidRPr="008210C1">
        <w:rPr>
          <w:rFonts w:ascii="Times New Roman" w:eastAsia="Times New Roman" w:hAnsi="Times New Roman" w:cs="Times New Roman"/>
          <w:sz w:val="24"/>
          <w:szCs w:val="24"/>
          <w:lang w:val="en-US" w:eastAsia="pt-BR"/>
        </w:rPr>
        <w:t>11</w:t>
      </w:r>
      <w:r w:rsidR="005A7A5F" w:rsidRPr="008210C1">
        <w:rPr>
          <w:rFonts w:ascii="Times New Roman" w:eastAsia="Times New Roman" w:hAnsi="Times New Roman" w:cs="Times New Roman"/>
          <w:sz w:val="24"/>
          <w:szCs w:val="24"/>
          <w:lang w:val="en-US" w:eastAsia="pt-BR"/>
        </w:rPr>
        <w:t>.</w:t>
      </w:r>
      <w:r w:rsidR="00C44CC6" w:rsidRPr="008210C1">
        <w:rPr>
          <w:rFonts w:ascii="Times New Roman" w:eastAsia="Times New Roman" w:hAnsi="Times New Roman" w:cs="Times New Roman"/>
          <w:sz w:val="24"/>
          <w:szCs w:val="24"/>
          <w:lang w:val="en-US" w:eastAsia="pt-BR"/>
        </w:rPr>
        <w:t>9</w:t>
      </w:r>
      <w:r w:rsidR="002D2426" w:rsidRPr="008210C1">
        <w:rPr>
          <w:rFonts w:ascii="Times New Roman" w:eastAsia="Times New Roman" w:hAnsi="Times New Roman" w:cs="Times New Roman"/>
          <w:sz w:val="24"/>
          <w:szCs w:val="24"/>
          <w:lang w:val="en-US" w:eastAsia="pt-BR"/>
        </w:rPr>
        <w:t>%; still, it departed from a low level, 17</w:t>
      </w:r>
      <w:r w:rsidR="005A7A5F" w:rsidRPr="008210C1">
        <w:rPr>
          <w:rFonts w:ascii="Times New Roman" w:eastAsia="Times New Roman" w:hAnsi="Times New Roman" w:cs="Times New Roman"/>
          <w:sz w:val="24"/>
          <w:szCs w:val="24"/>
          <w:lang w:val="en-US" w:eastAsia="pt-BR"/>
        </w:rPr>
        <w:t>.</w:t>
      </w:r>
      <w:r w:rsidR="002D2426" w:rsidRPr="008210C1">
        <w:rPr>
          <w:rFonts w:ascii="Times New Roman" w:eastAsia="Times New Roman" w:hAnsi="Times New Roman" w:cs="Times New Roman"/>
          <w:sz w:val="24"/>
          <w:szCs w:val="24"/>
          <w:lang w:val="en-US" w:eastAsia="pt-BR"/>
        </w:rPr>
        <w:t>3% of the GDP in 2004, reaching</w:t>
      </w:r>
      <w:r w:rsidR="003C7EB1" w:rsidRPr="008210C1">
        <w:rPr>
          <w:rFonts w:ascii="Times New Roman" w:eastAsia="Times New Roman" w:hAnsi="Times New Roman" w:cs="Times New Roman"/>
          <w:sz w:val="24"/>
          <w:szCs w:val="24"/>
          <w:lang w:val="en-US" w:eastAsia="pt-BR"/>
        </w:rPr>
        <w:t xml:space="preserve"> 19</w:t>
      </w:r>
      <w:r w:rsidR="005A7A5F" w:rsidRPr="008210C1">
        <w:rPr>
          <w:rFonts w:ascii="Times New Roman" w:eastAsia="Times New Roman" w:hAnsi="Times New Roman" w:cs="Times New Roman"/>
          <w:sz w:val="24"/>
          <w:szCs w:val="24"/>
          <w:lang w:val="en-US" w:eastAsia="pt-BR"/>
        </w:rPr>
        <w:t>.</w:t>
      </w:r>
      <w:r w:rsidR="003C7EB1" w:rsidRPr="008210C1">
        <w:rPr>
          <w:rFonts w:ascii="Times New Roman" w:eastAsia="Times New Roman" w:hAnsi="Times New Roman" w:cs="Times New Roman"/>
          <w:sz w:val="24"/>
          <w:szCs w:val="24"/>
          <w:lang w:val="en-US" w:eastAsia="pt-BR"/>
        </w:rPr>
        <w:t>4</w:t>
      </w:r>
      <w:r w:rsidR="002D2426" w:rsidRPr="008210C1">
        <w:rPr>
          <w:rFonts w:ascii="Times New Roman" w:eastAsia="Times New Roman" w:hAnsi="Times New Roman" w:cs="Times New Roman"/>
          <w:sz w:val="24"/>
          <w:szCs w:val="24"/>
          <w:lang w:val="en-US" w:eastAsia="pt-BR"/>
        </w:rPr>
        <w:t>% in 2008</w:t>
      </w:r>
      <w:r w:rsidR="0052258B" w:rsidRPr="008210C1">
        <w:rPr>
          <w:rFonts w:ascii="Times New Roman" w:eastAsia="Times New Roman" w:hAnsi="Times New Roman" w:cs="Times New Roman"/>
          <w:sz w:val="24"/>
          <w:szCs w:val="24"/>
          <w:lang w:val="en-US" w:eastAsia="pt-BR"/>
        </w:rPr>
        <w:t>; d</w:t>
      </w:r>
      <w:r w:rsidR="003C7EB1" w:rsidRPr="008210C1">
        <w:rPr>
          <w:rFonts w:ascii="Times New Roman" w:eastAsia="Times New Roman" w:hAnsi="Times New Roman" w:cs="Times New Roman"/>
          <w:sz w:val="24"/>
          <w:szCs w:val="24"/>
          <w:lang w:val="en-US" w:eastAsia="pt-BR"/>
        </w:rPr>
        <w:t>uring</w:t>
      </w:r>
      <w:r w:rsidR="002D2426" w:rsidRPr="008210C1">
        <w:rPr>
          <w:rFonts w:ascii="Times New Roman" w:eastAsia="Times New Roman" w:hAnsi="Times New Roman" w:cs="Times New Roman"/>
          <w:sz w:val="24"/>
          <w:szCs w:val="24"/>
          <w:lang w:val="en-US" w:eastAsia="pt-BR"/>
        </w:rPr>
        <w:t xml:space="preserve"> </w:t>
      </w:r>
      <w:r w:rsidR="003C7EB1" w:rsidRPr="008210C1">
        <w:rPr>
          <w:rFonts w:ascii="Times New Roman" w:eastAsia="Times New Roman" w:hAnsi="Times New Roman" w:cs="Times New Roman"/>
          <w:sz w:val="24"/>
          <w:szCs w:val="24"/>
          <w:lang w:val="en-US" w:eastAsia="pt-BR"/>
        </w:rPr>
        <w:t>2003-2007</w:t>
      </w:r>
      <w:r w:rsidR="002D2426" w:rsidRPr="008210C1">
        <w:rPr>
          <w:rFonts w:ascii="Times New Roman" w:eastAsia="Times New Roman" w:hAnsi="Times New Roman" w:cs="Times New Roman"/>
          <w:sz w:val="24"/>
          <w:szCs w:val="24"/>
          <w:lang w:val="en-US" w:eastAsia="pt-BR"/>
        </w:rPr>
        <w:t>, the investment/GDP ratio was always below</w:t>
      </w:r>
      <w:r w:rsidR="0009173A" w:rsidRPr="008210C1">
        <w:rPr>
          <w:rFonts w:ascii="Times New Roman" w:eastAsia="Times New Roman" w:hAnsi="Times New Roman" w:cs="Times New Roman"/>
          <w:sz w:val="24"/>
          <w:szCs w:val="24"/>
          <w:lang w:val="en-US" w:eastAsia="pt-BR"/>
        </w:rPr>
        <w:t xml:space="preserve"> </w:t>
      </w:r>
      <w:r w:rsidR="003C7EB1" w:rsidRPr="008210C1">
        <w:rPr>
          <w:rFonts w:ascii="Times New Roman" w:eastAsia="Times New Roman" w:hAnsi="Times New Roman" w:cs="Times New Roman"/>
          <w:sz w:val="24"/>
          <w:szCs w:val="24"/>
          <w:lang w:val="en-US" w:eastAsia="pt-BR"/>
        </w:rPr>
        <w:t>18</w:t>
      </w:r>
      <w:r w:rsidR="005A7A5F" w:rsidRPr="008210C1">
        <w:rPr>
          <w:rFonts w:ascii="Times New Roman" w:eastAsia="Times New Roman" w:hAnsi="Times New Roman" w:cs="Times New Roman"/>
          <w:sz w:val="24"/>
          <w:szCs w:val="24"/>
          <w:lang w:val="en-US" w:eastAsia="pt-BR"/>
        </w:rPr>
        <w:t>.</w:t>
      </w:r>
      <w:r w:rsidR="003C7EB1" w:rsidRPr="008210C1">
        <w:rPr>
          <w:rFonts w:ascii="Times New Roman" w:eastAsia="Times New Roman" w:hAnsi="Times New Roman" w:cs="Times New Roman"/>
          <w:sz w:val="24"/>
          <w:szCs w:val="24"/>
          <w:lang w:val="en-US" w:eastAsia="pt-BR"/>
        </w:rPr>
        <w:t>1</w:t>
      </w:r>
      <w:r w:rsidR="002D2426" w:rsidRPr="008210C1">
        <w:rPr>
          <w:rFonts w:ascii="Times New Roman" w:eastAsia="Times New Roman" w:hAnsi="Times New Roman" w:cs="Times New Roman"/>
          <w:sz w:val="24"/>
          <w:szCs w:val="24"/>
          <w:lang w:val="en-US" w:eastAsia="pt-BR"/>
        </w:rPr>
        <w:t>%</w:t>
      </w:r>
      <w:r w:rsidR="00C44CC6" w:rsidRPr="008210C1">
        <w:rPr>
          <w:rFonts w:ascii="Times New Roman" w:eastAsia="Times New Roman" w:hAnsi="Times New Roman" w:cs="Times New Roman"/>
          <w:sz w:val="24"/>
          <w:szCs w:val="24"/>
          <w:lang w:val="en-US" w:eastAsia="pt-BR"/>
        </w:rPr>
        <w:t xml:space="preserve"> (</w:t>
      </w:r>
      <w:proofErr w:type="spellStart"/>
      <w:r w:rsidR="00C44CC6" w:rsidRPr="008210C1">
        <w:rPr>
          <w:rFonts w:ascii="Times New Roman" w:eastAsia="Times New Roman" w:hAnsi="Times New Roman" w:cs="Times New Roman"/>
          <w:sz w:val="24"/>
          <w:szCs w:val="24"/>
          <w:lang w:val="en-US" w:eastAsia="pt-BR"/>
        </w:rPr>
        <w:t>Ipeadata</w:t>
      </w:r>
      <w:proofErr w:type="spellEnd"/>
      <w:r w:rsidR="00C44CC6" w:rsidRPr="008210C1">
        <w:rPr>
          <w:rFonts w:ascii="Times New Roman" w:eastAsia="Times New Roman" w:hAnsi="Times New Roman" w:cs="Times New Roman"/>
          <w:sz w:val="24"/>
          <w:szCs w:val="24"/>
          <w:lang w:val="en-US" w:eastAsia="pt-BR"/>
        </w:rPr>
        <w:t>, 2017)</w:t>
      </w:r>
      <w:r w:rsidR="002D2426" w:rsidRPr="008210C1">
        <w:rPr>
          <w:rFonts w:ascii="Times New Roman" w:eastAsia="Times New Roman" w:hAnsi="Times New Roman" w:cs="Times New Roman"/>
          <w:sz w:val="24"/>
          <w:szCs w:val="24"/>
          <w:lang w:val="en-US" w:eastAsia="pt-BR"/>
        </w:rPr>
        <w:t xml:space="preserve">, </w:t>
      </w:r>
      <w:r w:rsidR="0052258B" w:rsidRPr="008210C1">
        <w:rPr>
          <w:rFonts w:ascii="Times New Roman" w:eastAsia="Times New Roman" w:hAnsi="Times New Roman" w:cs="Times New Roman"/>
          <w:sz w:val="24"/>
          <w:szCs w:val="24"/>
          <w:lang w:val="en-US" w:eastAsia="pt-BR"/>
        </w:rPr>
        <w:t>insufficient</w:t>
      </w:r>
      <w:r w:rsidR="002D2426" w:rsidRPr="008210C1">
        <w:rPr>
          <w:rFonts w:ascii="Times New Roman" w:eastAsia="Times New Roman" w:hAnsi="Times New Roman" w:cs="Times New Roman"/>
          <w:sz w:val="24"/>
          <w:szCs w:val="24"/>
          <w:lang w:val="en-US" w:eastAsia="pt-BR"/>
        </w:rPr>
        <w:t xml:space="preserve"> to </w:t>
      </w:r>
      <w:r w:rsidR="005B42B3" w:rsidRPr="008210C1">
        <w:rPr>
          <w:rFonts w:ascii="Times New Roman" w:eastAsia="Times New Roman" w:hAnsi="Times New Roman" w:cs="Times New Roman"/>
          <w:sz w:val="24"/>
          <w:szCs w:val="24"/>
          <w:lang w:val="en-US" w:eastAsia="pt-BR"/>
        </w:rPr>
        <w:t>guaranteeing</w:t>
      </w:r>
      <w:r w:rsidR="00BB2A48" w:rsidRPr="008210C1">
        <w:rPr>
          <w:rFonts w:ascii="Times New Roman" w:eastAsia="Times New Roman" w:hAnsi="Times New Roman" w:cs="Times New Roman"/>
          <w:sz w:val="24"/>
          <w:szCs w:val="24"/>
          <w:lang w:val="en-US" w:eastAsia="pt-BR"/>
        </w:rPr>
        <w:t xml:space="preserve"> </w:t>
      </w:r>
      <w:r w:rsidR="002D2426" w:rsidRPr="008210C1">
        <w:rPr>
          <w:rFonts w:ascii="Times New Roman" w:eastAsia="Times New Roman" w:hAnsi="Times New Roman" w:cs="Times New Roman"/>
          <w:sz w:val="24"/>
          <w:szCs w:val="24"/>
          <w:lang w:val="en-US" w:eastAsia="pt-BR"/>
        </w:rPr>
        <w:t>a sustainable growth.</w:t>
      </w:r>
      <w:r w:rsidR="00737D8D" w:rsidRPr="008210C1">
        <w:rPr>
          <w:rFonts w:ascii="Times New Roman" w:eastAsia="Times New Roman" w:hAnsi="Times New Roman" w:cs="Times New Roman"/>
          <w:sz w:val="24"/>
          <w:szCs w:val="24"/>
          <w:lang w:val="en-US" w:eastAsia="pt-BR"/>
        </w:rPr>
        <w:t xml:space="preserve"> So,</w:t>
      </w:r>
      <w:r w:rsidR="002D2426" w:rsidRPr="008210C1">
        <w:rPr>
          <w:rFonts w:ascii="Times New Roman" w:eastAsia="Times New Roman" w:hAnsi="Times New Roman" w:cs="Times New Roman"/>
          <w:sz w:val="24"/>
          <w:szCs w:val="24"/>
          <w:lang w:val="en-US" w:eastAsia="pt-BR"/>
        </w:rPr>
        <w:t xml:space="preserve"> </w:t>
      </w:r>
      <w:r w:rsidR="001314D6" w:rsidRPr="008210C1">
        <w:rPr>
          <w:rFonts w:ascii="Times New Roman" w:eastAsia="Times New Roman" w:hAnsi="Times New Roman" w:cs="Times New Roman"/>
          <w:sz w:val="24"/>
          <w:szCs w:val="24"/>
          <w:lang w:val="en-US" w:eastAsia="pt-BR"/>
        </w:rPr>
        <w:t xml:space="preserve">Brazil grew </w:t>
      </w:r>
      <w:r w:rsidR="00737D8D" w:rsidRPr="008210C1">
        <w:rPr>
          <w:rFonts w:ascii="Times New Roman" w:eastAsia="Times New Roman" w:hAnsi="Times New Roman" w:cs="Times New Roman"/>
          <w:sz w:val="24"/>
          <w:szCs w:val="24"/>
          <w:lang w:val="en-US" w:eastAsia="pt-BR"/>
        </w:rPr>
        <w:t>w</w:t>
      </w:r>
      <w:r w:rsidR="002D2426" w:rsidRPr="008210C1">
        <w:rPr>
          <w:rFonts w:ascii="Times New Roman" w:eastAsia="Times New Roman" w:hAnsi="Times New Roman" w:cs="Times New Roman"/>
          <w:sz w:val="24"/>
          <w:szCs w:val="24"/>
          <w:lang w:val="en-US" w:eastAsia="pt-BR"/>
        </w:rPr>
        <w:t xml:space="preserve">hile there was idle </w:t>
      </w:r>
      <w:r w:rsidR="00E85278" w:rsidRPr="008210C1">
        <w:rPr>
          <w:rFonts w:ascii="Times New Roman" w:eastAsia="Times New Roman" w:hAnsi="Times New Roman" w:cs="Times New Roman"/>
          <w:sz w:val="24"/>
          <w:szCs w:val="24"/>
          <w:lang w:val="en-US" w:eastAsia="pt-BR"/>
        </w:rPr>
        <w:t xml:space="preserve">productive </w:t>
      </w:r>
      <w:r w:rsidR="002D2426" w:rsidRPr="008210C1">
        <w:rPr>
          <w:rFonts w:ascii="Times New Roman" w:eastAsia="Times New Roman" w:hAnsi="Times New Roman" w:cs="Times New Roman"/>
          <w:sz w:val="24"/>
          <w:szCs w:val="24"/>
          <w:lang w:val="en-US" w:eastAsia="pt-BR"/>
        </w:rPr>
        <w:t>capacity</w:t>
      </w:r>
      <w:r w:rsidR="001314D6" w:rsidRPr="008210C1">
        <w:rPr>
          <w:rFonts w:ascii="Times New Roman" w:eastAsia="Times New Roman" w:hAnsi="Times New Roman" w:cs="Times New Roman"/>
          <w:sz w:val="24"/>
          <w:szCs w:val="24"/>
          <w:lang w:val="en-US" w:eastAsia="pt-BR"/>
        </w:rPr>
        <w:t xml:space="preserve"> to attend exports and consumption</w:t>
      </w:r>
      <w:r w:rsidR="002D2426" w:rsidRPr="008210C1">
        <w:rPr>
          <w:rFonts w:ascii="Times New Roman" w:eastAsia="Times New Roman" w:hAnsi="Times New Roman" w:cs="Times New Roman"/>
          <w:sz w:val="24"/>
          <w:szCs w:val="24"/>
          <w:lang w:val="en-US" w:eastAsia="pt-BR"/>
        </w:rPr>
        <w:t xml:space="preserve">. </w:t>
      </w:r>
    </w:p>
    <w:p w:rsidR="00392BC0" w:rsidRPr="008210C1" w:rsidRDefault="00F7729E" w:rsidP="008210C1">
      <w:pPr>
        <w:spacing w:after="0" w:line="240" w:lineRule="auto"/>
        <w:ind w:firstLine="709"/>
        <w:contextualSpacing/>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In</w:t>
      </w:r>
      <w:r w:rsidR="004812EE" w:rsidRPr="008210C1">
        <w:rPr>
          <w:rFonts w:ascii="Times New Roman" w:hAnsi="Times New Roman" w:cs="Times New Roman"/>
          <w:sz w:val="24"/>
          <w:szCs w:val="24"/>
          <w:lang w:val="en-US"/>
        </w:rPr>
        <w:t xml:space="preserve"> 2008</w:t>
      </w:r>
      <w:r w:rsidR="007E2469" w:rsidRPr="008210C1">
        <w:rPr>
          <w:rFonts w:ascii="Times New Roman" w:hAnsi="Times New Roman" w:cs="Times New Roman"/>
          <w:sz w:val="24"/>
          <w:szCs w:val="24"/>
          <w:lang w:val="en-US"/>
        </w:rPr>
        <w:t>,</w:t>
      </w:r>
      <w:r w:rsidR="004812EE" w:rsidRPr="008210C1">
        <w:rPr>
          <w:rFonts w:ascii="Times New Roman" w:hAnsi="Times New Roman" w:cs="Times New Roman"/>
          <w:sz w:val="24"/>
          <w:szCs w:val="24"/>
          <w:lang w:val="en-US"/>
        </w:rPr>
        <w:t xml:space="preserve"> the </w:t>
      </w:r>
      <w:r w:rsidR="00277911" w:rsidRPr="008210C1">
        <w:rPr>
          <w:rFonts w:ascii="Times New Roman" w:hAnsi="Times New Roman" w:cs="Times New Roman"/>
          <w:sz w:val="24"/>
          <w:szCs w:val="24"/>
          <w:lang w:val="en-US"/>
        </w:rPr>
        <w:t>GFC erupted</w:t>
      </w:r>
      <w:r w:rsidR="00AC3589" w:rsidRPr="008210C1">
        <w:rPr>
          <w:rFonts w:ascii="Times New Roman" w:hAnsi="Times New Roman" w:cs="Times New Roman"/>
          <w:sz w:val="24"/>
          <w:szCs w:val="24"/>
          <w:lang w:val="en-US"/>
        </w:rPr>
        <w:t xml:space="preserve"> and </w:t>
      </w:r>
      <w:proofErr w:type="gramStart"/>
      <w:r w:rsidR="00AC3589" w:rsidRPr="008210C1">
        <w:rPr>
          <w:rFonts w:ascii="Times New Roman" w:hAnsi="Times New Roman" w:cs="Times New Roman"/>
          <w:sz w:val="24"/>
          <w:szCs w:val="24"/>
          <w:lang w:val="en-US"/>
        </w:rPr>
        <w:t>affected</w:t>
      </w:r>
      <w:r w:rsidR="00392BC0" w:rsidRPr="008210C1">
        <w:rPr>
          <w:rFonts w:ascii="Times New Roman" w:hAnsi="Times New Roman" w:cs="Times New Roman"/>
          <w:sz w:val="24"/>
          <w:szCs w:val="24"/>
          <w:lang w:val="en-US"/>
        </w:rPr>
        <w:t xml:space="preserve"> </w:t>
      </w:r>
      <w:r w:rsidR="00726AE7" w:rsidRPr="008210C1">
        <w:rPr>
          <w:rFonts w:ascii="Times New Roman" w:hAnsi="Times New Roman" w:cs="Times New Roman"/>
          <w:sz w:val="24"/>
          <w:szCs w:val="24"/>
          <w:lang w:val="en-US"/>
        </w:rPr>
        <w:t xml:space="preserve"> </w:t>
      </w:r>
      <w:r w:rsidR="00392BC0" w:rsidRPr="008210C1">
        <w:rPr>
          <w:rFonts w:ascii="Times New Roman" w:hAnsi="Times New Roman" w:cs="Times New Roman"/>
          <w:sz w:val="24"/>
          <w:szCs w:val="24"/>
          <w:lang w:val="en-US"/>
        </w:rPr>
        <w:t>Brazil</w:t>
      </w:r>
      <w:proofErr w:type="gramEnd"/>
      <w:r w:rsidR="00625E1C" w:rsidRPr="008210C1">
        <w:rPr>
          <w:rFonts w:ascii="Times New Roman" w:hAnsi="Times New Roman" w:cs="Times New Roman"/>
          <w:sz w:val="24"/>
          <w:szCs w:val="24"/>
          <w:lang w:val="en-US"/>
        </w:rPr>
        <w:t xml:space="preserve">,  with growth </w:t>
      </w:r>
      <w:r w:rsidR="004812EE" w:rsidRPr="008210C1">
        <w:rPr>
          <w:rFonts w:ascii="Times New Roman" w:hAnsi="Times New Roman" w:cs="Times New Roman"/>
          <w:sz w:val="24"/>
          <w:szCs w:val="24"/>
          <w:lang w:val="en-US"/>
        </w:rPr>
        <w:t>decreas</w:t>
      </w:r>
      <w:r w:rsidR="00625E1C" w:rsidRPr="008210C1">
        <w:rPr>
          <w:rFonts w:ascii="Times New Roman" w:hAnsi="Times New Roman" w:cs="Times New Roman"/>
          <w:sz w:val="24"/>
          <w:szCs w:val="24"/>
          <w:lang w:val="en-US"/>
        </w:rPr>
        <w:t xml:space="preserve">ing </w:t>
      </w:r>
      <w:r w:rsidR="00F70F95" w:rsidRPr="008210C1">
        <w:rPr>
          <w:rFonts w:ascii="Times New Roman" w:hAnsi="Times New Roman" w:cs="Times New Roman"/>
          <w:sz w:val="24"/>
          <w:szCs w:val="24"/>
          <w:lang w:val="en-US"/>
        </w:rPr>
        <w:t xml:space="preserve">by </w:t>
      </w:r>
      <w:r w:rsidR="004812EE" w:rsidRPr="008210C1">
        <w:rPr>
          <w:rFonts w:ascii="Times New Roman" w:hAnsi="Times New Roman" w:cs="Times New Roman"/>
          <w:sz w:val="24"/>
          <w:szCs w:val="24"/>
          <w:lang w:val="en-US"/>
        </w:rPr>
        <w:t xml:space="preserve">0.2% </w:t>
      </w:r>
      <w:r w:rsidR="005B3F2D" w:rsidRPr="008210C1">
        <w:rPr>
          <w:rFonts w:ascii="Times New Roman" w:hAnsi="Times New Roman" w:cs="Times New Roman"/>
          <w:sz w:val="24"/>
          <w:szCs w:val="24"/>
          <w:lang w:val="en-US"/>
        </w:rPr>
        <w:t>in 2009</w:t>
      </w:r>
      <w:r w:rsidR="00035714" w:rsidRPr="008210C1">
        <w:rPr>
          <w:rFonts w:ascii="Times New Roman" w:hAnsi="Times New Roman" w:cs="Times New Roman"/>
          <w:sz w:val="24"/>
          <w:szCs w:val="24"/>
          <w:lang w:val="en-US"/>
        </w:rPr>
        <w:t>, but it</w:t>
      </w:r>
      <w:r w:rsidR="005B3F2D" w:rsidRPr="008210C1">
        <w:rPr>
          <w:rFonts w:ascii="Times New Roman" w:hAnsi="Times New Roman" w:cs="Times New Roman"/>
          <w:sz w:val="24"/>
          <w:szCs w:val="24"/>
          <w:lang w:val="en-US"/>
        </w:rPr>
        <w:t xml:space="preserve"> </w:t>
      </w:r>
      <w:r w:rsidR="00625E1C" w:rsidRPr="008210C1">
        <w:rPr>
          <w:rFonts w:ascii="Times New Roman" w:hAnsi="Times New Roman" w:cs="Times New Roman"/>
          <w:sz w:val="24"/>
          <w:szCs w:val="24"/>
          <w:lang w:val="en-US"/>
        </w:rPr>
        <w:t xml:space="preserve">increased </w:t>
      </w:r>
      <w:r w:rsidR="00F70F95" w:rsidRPr="008210C1">
        <w:rPr>
          <w:rFonts w:ascii="Times New Roman" w:hAnsi="Times New Roman" w:cs="Times New Roman"/>
          <w:sz w:val="24"/>
          <w:szCs w:val="24"/>
          <w:lang w:val="en-US"/>
        </w:rPr>
        <w:t xml:space="preserve">by </w:t>
      </w:r>
      <w:r w:rsidR="007E2469" w:rsidRPr="008210C1">
        <w:rPr>
          <w:rFonts w:ascii="Times New Roman" w:hAnsi="Times New Roman" w:cs="Times New Roman"/>
          <w:sz w:val="24"/>
          <w:szCs w:val="24"/>
          <w:lang w:val="en-US"/>
        </w:rPr>
        <w:t>7.5%</w:t>
      </w:r>
      <w:r w:rsidR="005A7A5F" w:rsidRPr="008210C1">
        <w:rPr>
          <w:rFonts w:ascii="Times New Roman" w:hAnsi="Times New Roman" w:cs="Times New Roman"/>
          <w:sz w:val="24"/>
          <w:szCs w:val="24"/>
          <w:lang w:val="en-US"/>
        </w:rPr>
        <w:t xml:space="preserve"> in 2010 and</w:t>
      </w:r>
      <w:r w:rsidR="004812EE" w:rsidRPr="008210C1">
        <w:rPr>
          <w:rFonts w:ascii="Times New Roman" w:hAnsi="Times New Roman" w:cs="Times New Roman"/>
          <w:sz w:val="24"/>
          <w:szCs w:val="24"/>
          <w:lang w:val="en-US"/>
        </w:rPr>
        <w:t xml:space="preserve"> 3.9%</w:t>
      </w:r>
      <w:r w:rsidR="007E2469" w:rsidRPr="008210C1">
        <w:rPr>
          <w:rFonts w:ascii="Times New Roman" w:hAnsi="Times New Roman" w:cs="Times New Roman"/>
          <w:sz w:val="24"/>
          <w:szCs w:val="24"/>
          <w:lang w:val="en-US"/>
        </w:rPr>
        <w:t xml:space="preserve"> </w:t>
      </w:r>
      <w:r w:rsidR="005A7A5F" w:rsidRPr="008210C1">
        <w:rPr>
          <w:rFonts w:ascii="Times New Roman" w:hAnsi="Times New Roman" w:cs="Times New Roman"/>
          <w:sz w:val="24"/>
          <w:szCs w:val="24"/>
          <w:lang w:val="en-US"/>
        </w:rPr>
        <w:t xml:space="preserve">in 2011 </w:t>
      </w:r>
      <w:r w:rsidR="004812EE" w:rsidRPr="008210C1">
        <w:rPr>
          <w:rFonts w:ascii="Times New Roman" w:hAnsi="Times New Roman" w:cs="Times New Roman"/>
          <w:sz w:val="24"/>
          <w:szCs w:val="24"/>
          <w:lang w:val="en-US"/>
        </w:rPr>
        <w:t>(</w:t>
      </w:r>
      <w:proofErr w:type="spellStart"/>
      <w:r w:rsidR="004812EE" w:rsidRPr="008210C1">
        <w:rPr>
          <w:rFonts w:ascii="Times New Roman" w:hAnsi="Times New Roman" w:cs="Times New Roman"/>
          <w:sz w:val="24"/>
          <w:szCs w:val="24"/>
          <w:lang w:val="en-US"/>
        </w:rPr>
        <w:t>Ipeadata</w:t>
      </w:r>
      <w:proofErr w:type="spellEnd"/>
      <w:r w:rsidR="004812EE" w:rsidRPr="008210C1">
        <w:rPr>
          <w:rFonts w:ascii="Times New Roman" w:hAnsi="Times New Roman" w:cs="Times New Roman"/>
          <w:sz w:val="24"/>
          <w:szCs w:val="24"/>
          <w:lang w:val="en-US"/>
        </w:rPr>
        <w:t>, 2017). Brazil’s recovery</w:t>
      </w:r>
      <w:r w:rsidR="00625E1C" w:rsidRPr="008210C1">
        <w:rPr>
          <w:rFonts w:ascii="Times New Roman" w:hAnsi="Times New Roman" w:cs="Times New Roman"/>
          <w:sz w:val="24"/>
          <w:szCs w:val="24"/>
          <w:lang w:val="en-US"/>
        </w:rPr>
        <w:t xml:space="preserve">, according to </w:t>
      </w:r>
      <w:proofErr w:type="spellStart"/>
      <w:r w:rsidR="00625E1C" w:rsidRPr="008210C1">
        <w:rPr>
          <w:rFonts w:ascii="Times New Roman" w:hAnsi="Times New Roman" w:cs="Times New Roman"/>
          <w:sz w:val="24"/>
          <w:szCs w:val="24"/>
          <w:lang w:val="en-US"/>
        </w:rPr>
        <w:t>Arestis</w:t>
      </w:r>
      <w:proofErr w:type="spellEnd"/>
      <w:r w:rsidR="00625E1C" w:rsidRPr="008210C1">
        <w:rPr>
          <w:rFonts w:ascii="Times New Roman" w:hAnsi="Times New Roman" w:cs="Times New Roman"/>
          <w:sz w:val="24"/>
          <w:szCs w:val="24"/>
          <w:lang w:val="en-US"/>
        </w:rPr>
        <w:t xml:space="preserve"> and Terra (2015), </w:t>
      </w:r>
      <w:r w:rsidR="00EB4645" w:rsidRPr="008210C1">
        <w:rPr>
          <w:rFonts w:ascii="Times New Roman" w:hAnsi="Times New Roman" w:cs="Times New Roman"/>
          <w:sz w:val="24"/>
          <w:szCs w:val="24"/>
          <w:lang w:val="en-US"/>
        </w:rPr>
        <w:t>was due to</w:t>
      </w:r>
      <w:proofErr w:type="gramStart"/>
      <w:r w:rsidR="00EB4645" w:rsidRPr="008210C1">
        <w:rPr>
          <w:rFonts w:ascii="Times New Roman" w:hAnsi="Times New Roman" w:cs="Times New Roman"/>
          <w:sz w:val="24"/>
          <w:szCs w:val="24"/>
          <w:lang w:val="en-US"/>
        </w:rPr>
        <w:t xml:space="preserve">: </w:t>
      </w:r>
      <w:r w:rsidR="00625E1C" w:rsidRPr="008210C1">
        <w:rPr>
          <w:rFonts w:ascii="Times New Roman" w:hAnsi="Times New Roman" w:cs="Times New Roman"/>
          <w:sz w:val="24"/>
          <w:szCs w:val="24"/>
          <w:lang w:val="en-US"/>
        </w:rPr>
        <w:t xml:space="preserve"> </w:t>
      </w:r>
      <w:r w:rsidR="004812EE" w:rsidRPr="008210C1">
        <w:rPr>
          <w:rFonts w:ascii="Times New Roman" w:hAnsi="Times New Roman" w:cs="Times New Roman"/>
          <w:sz w:val="24"/>
          <w:szCs w:val="24"/>
          <w:lang w:val="en-US"/>
        </w:rPr>
        <w:t>(</w:t>
      </w:r>
      <w:proofErr w:type="spellStart"/>
      <w:proofErr w:type="gramEnd"/>
      <w:r w:rsidR="004812EE" w:rsidRPr="008210C1">
        <w:rPr>
          <w:rFonts w:ascii="Times New Roman" w:hAnsi="Times New Roman" w:cs="Times New Roman"/>
          <w:sz w:val="24"/>
          <w:szCs w:val="24"/>
          <w:lang w:val="en-US"/>
        </w:rPr>
        <w:t>i</w:t>
      </w:r>
      <w:proofErr w:type="spellEnd"/>
      <w:r w:rsidR="004812EE" w:rsidRPr="008210C1">
        <w:rPr>
          <w:rFonts w:ascii="Times New Roman" w:hAnsi="Times New Roman" w:cs="Times New Roman"/>
          <w:sz w:val="24"/>
          <w:szCs w:val="24"/>
          <w:lang w:val="en-US"/>
        </w:rPr>
        <w:t xml:space="preserve">) the heated domestic market </w:t>
      </w:r>
      <w:r w:rsidR="00F70F95" w:rsidRPr="008210C1">
        <w:rPr>
          <w:rFonts w:ascii="Times New Roman" w:hAnsi="Times New Roman" w:cs="Times New Roman"/>
          <w:sz w:val="24"/>
          <w:szCs w:val="24"/>
          <w:lang w:val="en-US"/>
        </w:rPr>
        <w:t xml:space="preserve">in view of </w:t>
      </w:r>
      <w:r w:rsidR="004812EE" w:rsidRPr="008210C1">
        <w:rPr>
          <w:rFonts w:ascii="Times New Roman" w:hAnsi="Times New Roman" w:cs="Times New Roman"/>
          <w:sz w:val="24"/>
          <w:szCs w:val="24"/>
          <w:lang w:val="en-US"/>
        </w:rPr>
        <w:t>increasing wages and income transfer</w:t>
      </w:r>
      <w:r w:rsidR="00F70F95" w:rsidRPr="008210C1">
        <w:rPr>
          <w:rFonts w:ascii="Times New Roman" w:hAnsi="Times New Roman" w:cs="Times New Roman"/>
          <w:sz w:val="24"/>
          <w:szCs w:val="24"/>
          <w:lang w:val="en-US"/>
        </w:rPr>
        <w:t xml:space="preserve">s; </w:t>
      </w:r>
      <w:r w:rsidR="004812EE" w:rsidRPr="008210C1">
        <w:rPr>
          <w:rFonts w:ascii="Times New Roman" w:hAnsi="Times New Roman" w:cs="Times New Roman"/>
          <w:sz w:val="24"/>
          <w:szCs w:val="24"/>
          <w:lang w:val="en-US"/>
        </w:rPr>
        <w:t>(ii) exports to developing countries, chiefly to China</w:t>
      </w:r>
      <w:r w:rsidR="00F70F95" w:rsidRPr="008210C1">
        <w:rPr>
          <w:rFonts w:ascii="Times New Roman" w:hAnsi="Times New Roman" w:cs="Times New Roman"/>
          <w:sz w:val="24"/>
          <w:szCs w:val="24"/>
          <w:lang w:val="en-US"/>
        </w:rPr>
        <w:t xml:space="preserve">; and </w:t>
      </w:r>
      <w:r w:rsidR="004812EE" w:rsidRPr="008210C1">
        <w:rPr>
          <w:rFonts w:ascii="Times New Roman" w:hAnsi="Times New Roman" w:cs="Times New Roman"/>
          <w:sz w:val="24"/>
          <w:szCs w:val="24"/>
          <w:lang w:val="en-US"/>
        </w:rPr>
        <w:t xml:space="preserve">(iii) </w:t>
      </w:r>
      <w:r w:rsidR="00625E1C" w:rsidRPr="008210C1">
        <w:rPr>
          <w:rFonts w:ascii="Times New Roman" w:hAnsi="Times New Roman" w:cs="Times New Roman"/>
          <w:sz w:val="24"/>
          <w:szCs w:val="24"/>
          <w:lang w:val="en-US"/>
        </w:rPr>
        <w:t>the economic policy measures in a counter cyclical stance after the end of 2008.</w:t>
      </w:r>
      <w:r w:rsidR="001B6671" w:rsidRPr="008210C1">
        <w:rPr>
          <w:rStyle w:val="Refdenotaderodap"/>
          <w:rFonts w:ascii="Times New Roman" w:hAnsi="Times New Roman" w:cs="Times New Roman"/>
          <w:sz w:val="24"/>
          <w:szCs w:val="24"/>
          <w:lang w:val="en-US"/>
        </w:rPr>
        <w:footnoteReference w:id="4"/>
      </w:r>
      <w:r w:rsidR="006E5F4E" w:rsidRPr="008210C1">
        <w:rPr>
          <w:rFonts w:ascii="Times New Roman" w:hAnsi="Times New Roman" w:cs="Times New Roman"/>
          <w:sz w:val="24"/>
          <w:szCs w:val="24"/>
          <w:lang w:val="en-US"/>
        </w:rPr>
        <w:t xml:space="preserve"> </w:t>
      </w:r>
      <w:r w:rsidR="001B6671" w:rsidRPr="008210C1">
        <w:rPr>
          <w:rFonts w:ascii="Times New Roman" w:hAnsi="Times New Roman" w:cs="Times New Roman"/>
          <w:sz w:val="24"/>
          <w:szCs w:val="24"/>
          <w:lang w:val="en-US"/>
        </w:rPr>
        <w:t xml:space="preserve">These </w:t>
      </w:r>
      <w:r w:rsidR="00BF42D6" w:rsidRPr="008210C1">
        <w:rPr>
          <w:rFonts w:ascii="Times New Roman" w:hAnsi="Times New Roman" w:cs="Times New Roman"/>
          <w:sz w:val="24"/>
          <w:szCs w:val="24"/>
          <w:lang w:val="en-US"/>
        </w:rPr>
        <w:t>measures</w:t>
      </w:r>
      <w:r w:rsidR="001B6671" w:rsidRPr="008210C1">
        <w:rPr>
          <w:rFonts w:ascii="Times New Roman" w:hAnsi="Times New Roman" w:cs="Times New Roman"/>
          <w:sz w:val="24"/>
          <w:szCs w:val="24"/>
          <w:lang w:val="en-US"/>
        </w:rPr>
        <w:t xml:space="preserve"> </w:t>
      </w:r>
      <w:r w:rsidR="00F70F95" w:rsidRPr="008210C1">
        <w:rPr>
          <w:rFonts w:ascii="Times New Roman" w:hAnsi="Times New Roman" w:cs="Times New Roman"/>
          <w:sz w:val="24"/>
          <w:szCs w:val="24"/>
          <w:lang w:val="en-US"/>
        </w:rPr>
        <w:t>boosted</w:t>
      </w:r>
      <w:r w:rsidR="001B6671" w:rsidRPr="008210C1">
        <w:rPr>
          <w:rFonts w:ascii="Times New Roman" w:hAnsi="Times New Roman" w:cs="Times New Roman"/>
          <w:sz w:val="24"/>
          <w:szCs w:val="24"/>
          <w:lang w:val="en-US"/>
        </w:rPr>
        <w:t xml:space="preserve"> the aggregate demand and the investment rate, which reached </w:t>
      </w:r>
      <w:r w:rsidR="00392BC0" w:rsidRPr="008210C1">
        <w:rPr>
          <w:rFonts w:ascii="Times New Roman" w:hAnsi="Times New Roman" w:cs="Times New Roman"/>
          <w:sz w:val="24"/>
          <w:szCs w:val="24"/>
          <w:lang w:val="en-US"/>
        </w:rPr>
        <w:t>20</w:t>
      </w:r>
      <w:r w:rsidR="005A7A5F" w:rsidRPr="008210C1">
        <w:rPr>
          <w:rFonts w:ascii="Times New Roman" w:hAnsi="Times New Roman" w:cs="Times New Roman"/>
          <w:sz w:val="24"/>
          <w:szCs w:val="24"/>
          <w:lang w:val="en-US"/>
        </w:rPr>
        <w:t>.</w:t>
      </w:r>
      <w:r w:rsidR="00392BC0" w:rsidRPr="008210C1">
        <w:rPr>
          <w:rFonts w:ascii="Times New Roman" w:hAnsi="Times New Roman" w:cs="Times New Roman"/>
          <w:sz w:val="24"/>
          <w:szCs w:val="24"/>
          <w:lang w:val="en-US"/>
        </w:rPr>
        <w:t xml:space="preserve">5% of the GDP </w:t>
      </w:r>
      <w:r w:rsidR="001B6671" w:rsidRPr="008210C1">
        <w:rPr>
          <w:rFonts w:ascii="Times New Roman" w:hAnsi="Times New Roman" w:cs="Times New Roman"/>
          <w:sz w:val="24"/>
          <w:szCs w:val="24"/>
          <w:lang w:val="en-US"/>
        </w:rPr>
        <w:t>in 2010</w:t>
      </w:r>
      <w:r w:rsidR="00C44CC6" w:rsidRPr="008210C1">
        <w:rPr>
          <w:rFonts w:ascii="Times New Roman" w:hAnsi="Times New Roman" w:cs="Times New Roman"/>
          <w:sz w:val="24"/>
          <w:szCs w:val="24"/>
          <w:lang w:val="en-US"/>
        </w:rPr>
        <w:t xml:space="preserve"> </w:t>
      </w:r>
      <w:r w:rsidR="001B6671" w:rsidRPr="008210C1">
        <w:rPr>
          <w:rFonts w:ascii="Times New Roman" w:hAnsi="Times New Roman" w:cs="Times New Roman"/>
          <w:sz w:val="24"/>
          <w:szCs w:val="24"/>
          <w:lang w:val="en-US"/>
        </w:rPr>
        <w:t>(</w:t>
      </w:r>
      <w:proofErr w:type="spellStart"/>
      <w:r w:rsidR="001B6671" w:rsidRPr="008210C1">
        <w:rPr>
          <w:rFonts w:ascii="Times New Roman" w:hAnsi="Times New Roman" w:cs="Times New Roman"/>
          <w:sz w:val="24"/>
          <w:szCs w:val="24"/>
          <w:lang w:val="en-US"/>
        </w:rPr>
        <w:t>Ipeadata</w:t>
      </w:r>
      <w:proofErr w:type="spellEnd"/>
      <w:r w:rsidR="001B6671" w:rsidRPr="008210C1">
        <w:rPr>
          <w:rFonts w:ascii="Times New Roman" w:hAnsi="Times New Roman" w:cs="Times New Roman"/>
          <w:sz w:val="24"/>
          <w:szCs w:val="24"/>
          <w:lang w:val="en-US"/>
        </w:rPr>
        <w:t xml:space="preserve">, 2017). </w:t>
      </w:r>
      <w:r w:rsidR="00392BC0" w:rsidRPr="008210C1">
        <w:rPr>
          <w:rFonts w:ascii="Times New Roman" w:hAnsi="Times New Roman" w:cs="Times New Roman"/>
          <w:sz w:val="24"/>
          <w:szCs w:val="24"/>
          <w:lang w:val="en-US"/>
        </w:rPr>
        <w:t>Furthermore</w:t>
      </w:r>
      <w:r w:rsidR="001B6671" w:rsidRPr="008210C1">
        <w:rPr>
          <w:rFonts w:ascii="Times New Roman" w:hAnsi="Times New Roman" w:cs="Times New Roman"/>
          <w:sz w:val="24"/>
          <w:szCs w:val="24"/>
          <w:lang w:val="en-US"/>
        </w:rPr>
        <w:t>, this demand-led recovery was</w:t>
      </w:r>
      <w:r w:rsidR="00BF42D6" w:rsidRPr="008210C1">
        <w:rPr>
          <w:rFonts w:ascii="Times New Roman" w:hAnsi="Times New Roman" w:cs="Times New Roman"/>
          <w:sz w:val="24"/>
          <w:szCs w:val="24"/>
          <w:lang w:val="en-US"/>
        </w:rPr>
        <w:t xml:space="preserve"> again</w:t>
      </w:r>
      <w:r w:rsidR="001B6671" w:rsidRPr="008210C1">
        <w:rPr>
          <w:rFonts w:ascii="Times New Roman" w:hAnsi="Times New Roman" w:cs="Times New Roman"/>
          <w:sz w:val="24"/>
          <w:szCs w:val="24"/>
          <w:lang w:val="en-US"/>
        </w:rPr>
        <w:t xml:space="preserve"> </w:t>
      </w:r>
      <w:r w:rsidR="008311FB" w:rsidRPr="008210C1">
        <w:rPr>
          <w:rFonts w:ascii="Times New Roman" w:hAnsi="Times New Roman" w:cs="Times New Roman"/>
          <w:sz w:val="24"/>
          <w:szCs w:val="24"/>
          <w:lang w:val="en-US"/>
        </w:rPr>
        <w:t>based on</w:t>
      </w:r>
      <w:r w:rsidR="001B6671" w:rsidRPr="008210C1">
        <w:rPr>
          <w:rFonts w:ascii="Times New Roman" w:hAnsi="Times New Roman" w:cs="Times New Roman"/>
          <w:sz w:val="24"/>
          <w:szCs w:val="24"/>
          <w:lang w:val="en-US"/>
        </w:rPr>
        <w:t xml:space="preserve"> idle</w:t>
      </w:r>
      <w:r w:rsidR="00392BC0" w:rsidRPr="008210C1">
        <w:rPr>
          <w:rFonts w:ascii="Times New Roman" w:hAnsi="Times New Roman" w:cs="Times New Roman"/>
          <w:sz w:val="24"/>
          <w:szCs w:val="24"/>
          <w:lang w:val="en-US"/>
        </w:rPr>
        <w:t xml:space="preserve"> industrial</w:t>
      </w:r>
      <w:r w:rsidR="001B6671" w:rsidRPr="008210C1">
        <w:rPr>
          <w:rFonts w:ascii="Times New Roman" w:hAnsi="Times New Roman" w:cs="Times New Roman"/>
          <w:sz w:val="24"/>
          <w:szCs w:val="24"/>
          <w:lang w:val="en-US"/>
        </w:rPr>
        <w:t xml:space="preserve"> installed capacity – in 2009 and 2010 their rates were </w:t>
      </w:r>
      <w:r w:rsidR="00C44CC6" w:rsidRPr="008210C1">
        <w:rPr>
          <w:rFonts w:ascii="Times New Roman" w:hAnsi="Times New Roman" w:cs="Times New Roman"/>
          <w:sz w:val="24"/>
          <w:szCs w:val="24"/>
          <w:lang w:val="en-US"/>
        </w:rPr>
        <w:t>80</w:t>
      </w:r>
      <w:r w:rsidR="001B6671" w:rsidRPr="008210C1">
        <w:rPr>
          <w:rFonts w:ascii="Times New Roman" w:hAnsi="Times New Roman" w:cs="Times New Roman"/>
          <w:sz w:val="24"/>
          <w:szCs w:val="24"/>
          <w:lang w:val="en-US"/>
        </w:rPr>
        <w:t>.</w:t>
      </w:r>
      <w:r w:rsidR="00C44CC6" w:rsidRPr="008210C1">
        <w:rPr>
          <w:rFonts w:ascii="Times New Roman" w:hAnsi="Times New Roman" w:cs="Times New Roman"/>
          <w:sz w:val="24"/>
          <w:szCs w:val="24"/>
          <w:lang w:val="en-US"/>
        </w:rPr>
        <w:t>6% and 83</w:t>
      </w:r>
      <w:r w:rsidR="001B6671" w:rsidRPr="008210C1">
        <w:rPr>
          <w:rFonts w:ascii="Times New Roman" w:hAnsi="Times New Roman" w:cs="Times New Roman"/>
          <w:sz w:val="24"/>
          <w:szCs w:val="24"/>
          <w:lang w:val="en-US"/>
        </w:rPr>
        <w:t>.3%</w:t>
      </w:r>
      <w:r w:rsidR="00392BC0" w:rsidRPr="008210C1">
        <w:rPr>
          <w:rFonts w:ascii="Times New Roman" w:hAnsi="Times New Roman" w:cs="Times New Roman"/>
          <w:sz w:val="24"/>
          <w:szCs w:val="24"/>
          <w:lang w:val="en-US"/>
        </w:rPr>
        <w:t>,</w:t>
      </w:r>
      <w:r w:rsidR="001B6671" w:rsidRPr="008210C1">
        <w:rPr>
          <w:rFonts w:ascii="Times New Roman" w:hAnsi="Times New Roman" w:cs="Times New Roman"/>
          <w:sz w:val="24"/>
          <w:szCs w:val="24"/>
          <w:lang w:val="en-US"/>
        </w:rPr>
        <w:t xml:space="preserve"> respectively</w:t>
      </w:r>
      <w:r w:rsidR="00C44CC6" w:rsidRPr="008210C1">
        <w:rPr>
          <w:rFonts w:ascii="Times New Roman" w:hAnsi="Times New Roman" w:cs="Times New Roman"/>
          <w:sz w:val="24"/>
          <w:szCs w:val="24"/>
          <w:lang w:val="en-US"/>
        </w:rPr>
        <w:t xml:space="preserve"> (</w:t>
      </w:r>
      <w:proofErr w:type="spellStart"/>
      <w:r w:rsidR="00C44CC6" w:rsidRPr="008210C1">
        <w:rPr>
          <w:rFonts w:ascii="Times New Roman" w:hAnsi="Times New Roman" w:cs="Times New Roman"/>
          <w:sz w:val="24"/>
          <w:szCs w:val="24"/>
          <w:lang w:val="en-US"/>
        </w:rPr>
        <w:t>Ipeadata</w:t>
      </w:r>
      <w:proofErr w:type="spellEnd"/>
      <w:r w:rsidR="00C44CC6" w:rsidRPr="008210C1">
        <w:rPr>
          <w:rFonts w:ascii="Times New Roman" w:hAnsi="Times New Roman" w:cs="Times New Roman"/>
          <w:sz w:val="24"/>
          <w:szCs w:val="24"/>
          <w:lang w:val="en-US"/>
        </w:rPr>
        <w:t>, 2017)</w:t>
      </w:r>
      <w:r w:rsidR="001B6671" w:rsidRPr="008210C1">
        <w:rPr>
          <w:rFonts w:ascii="Times New Roman" w:hAnsi="Times New Roman" w:cs="Times New Roman"/>
          <w:sz w:val="24"/>
          <w:szCs w:val="24"/>
          <w:lang w:val="en-US"/>
        </w:rPr>
        <w:t xml:space="preserve">. </w:t>
      </w:r>
      <w:r w:rsidR="00E85278" w:rsidRPr="008210C1">
        <w:rPr>
          <w:rFonts w:ascii="Times New Roman" w:hAnsi="Times New Roman" w:cs="Times New Roman"/>
          <w:sz w:val="24"/>
          <w:szCs w:val="24"/>
          <w:lang w:val="en-US"/>
        </w:rPr>
        <w:t>Again</w:t>
      </w:r>
      <w:r w:rsidR="001B6671" w:rsidRPr="008210C1">
        <w:rPr>
          <w:rFonts w:ascii="Times New Roman" w:hAnsi="Times New Roman" w:cs="Times New Roman"/>
          <w:sz w:val="24"/>
          <w:szCs w:val="24"/>
          <w:lang w:val="en-US"/>
        </w:rPr>
        <w:t xml:space="preserve">, </w:t>
      </w:r>
      <w:r w:rsidR="00913FB9" w:rsidRPr="008210C1">
        <w:rPr>
          <w:rFonts w:ascii="Times New Roman" w:hAnsi="Times New Roman" w:cs="Times New Roman"/>
          <w:sz w:val="24"/>
          <w:szCs w:val="24"/>
          <w:lang w:val="en-US"/>
        </w:rPr>
        <w:t>consumption and the external sector drove</w:t>
      </w:r>
      <w:r w:rsidR="004812EE" w:rsidRPr="008210C1">
        <w:rPr>
          <w:rFonts w:ascii="Times New Roman" w:hAnsi="Times New Roman" w:cs="Times New Roman"/>
          <w:sz w:val="24"/>
          <w:szCs w:val="24"/>
          <w:lang w:val="en-US"/>
        </w:rPr>
        <w:t xml:space="preserve"> Brazil</w:t>
      </w:r>
      <w:r w:rsidR="00913FB9" w:rsidRPr="008210C1">
        <w:rPr>
          <w:rFonts w:ascii="Times New Roman" w:hAnsi="Times New Roman" w:cs="Times New Roman"/>
          <w:sz w:val="24"/>
          <w:szCs w:val="24"/>
          <w:lang w:val="en-US"/>
        </w:rPr>
        <w:t>’s</w:t>
      </w:r>
      <w:r w:rsidR="004812EE" w:rsidRPr="008210C1">
        <w:rPr>
          <w:rFonts w:ascii="Times New Roman" w:hAnsi="Times New Roman" w:cs="Times New Roman"/>
          <w:sz w:val="24"/>
          <w:szCs w:val="24"/>
          <w:lang w:val="en-US"/>
        </w:rPr>
        <w:t xml:space="preserve"> economy without having </w:t>
      </w:r>
      <w:r w:rsidR="00E85278" w:rsidRPr="008210C1">
        <w:rPr>
          <w:rFonts w:ascii="Times New Roman" w:hAnsi="Times New Roman" w:cs="Times New Roman"/>
          <w:sz w:val="24"/>
          <w:szCs w:val="24"/>
          <w:lang w:val="en-US"/>
        </w:rPr>
        <w:t xml:space="preserve">the </w:t>
      </w:r>
      <w:r w:rsidR="004812EE" w:rsidRPr="008210C1">
        <w:rPr>
          <w:rFonts w:ascii="Times New Roman" w:hAnsi="Times New Roman" w:cs="Times New Roman"/>
          <w:sz w:val="24"/>
          <w:szCs w:val="24"/>
          <w:lang w:val="en-US"/>
        </w:rPr>
        <w:t xml:space="preserve">investment levels </w:t>
      </w:r>
      <w:r w:rsidR="00913FB9" w:rsidRPr="008210C1">
        <w:rPr>
          <w:rFonts w:ascii="Times New Roman" w:hAnsi="Times New Roman" w:cs="Times New Roman"/>
          <w:sz w:val="24"/>
          <w:szCs w:val="24"/>
          <w:lang w:val="en-US"/>
        </w:rPr>
        <w:t>at the</w:t>
      </w:r>
      <w:r w:rsidR="004812EE" w:rsidRPr="008210C1">
        <w:rPr>
          <w:rFonts w:ascii="Times New Roman" w:hAnsi="Times New Roman" w:cs="Times New Roman"/>
          <w:sz w:val="24"/>
          <w:szCs w:val="24"/>
          <w:lang w:val="en-US"/>
        </w:rPr>
        <w:t xml:space="preserve"> rate required for </w:t>
      </w:r>
      <w:r w:rsidR="00913FB9" w:rsidRPr="008210C1">
        <w:rPr>
          <w:rFonts w:ascii="Times New Roman" w:hAnsi="Times New Roman" w:cs="Times New Roman"/>
          <w:sz w:val="24"/>
          <w:szCs w:val="24"/>
          <w:lang w:val="en-US"/>
        </w:rPr>
        <w:t>achieving</w:t>
      </w:r>
      <w:r w:rsidR="004812EE" w:rsidRPr="008210C1">
        <w:rPr>
          <w:rFonts w:ascii="Times New Roman" w:hAnsi="Times New Roman" w:cs="Times New Roman"/>
          <w:sz w:val="24"/>
          <w:szCs w:val="24"/>
          <w:lang w:val="en-US"/>
        </w:rPr>
        <w:t xml:space="preserve"> sustainable growth.</w:t>
      </w:r>
      <w:r w:rsidR="00392BC0" w:rsidRPr="008210C1">
        <w:rPr>
          <w:rFonts w:ascii="Times New Roman" w:hAnsi="Times New Roman" w:cs="Times New Roman"/>
          <w:sz w:val="24"/>
          <w:szCs w:val="24"/>
          <w:lang w:val="en-US"/>
        </w:rPr>
        <w:t xml:space="preserve"> Having this </w:t>
      </w:r>
      <w:r w:rsidR="00F70F95" w:rsidRPr="008210C1">
        <w:rPr>
          <w:rFonts w:ascii="Times New Roman" w:hAnsi="Times New Roman" w:cs="Times New Roman"/>
          <w:sz w:val="24"/>
          <w:szCs w:val="24"/>
          <w:lang w:val="en-US"/>
        </w:rPr>
        <w:t>in</w:t>
      </w:r>
      <w:r w:rsidR="00392BC0" w:rsidRPr="008210C1">
        <w:rPr>
          <w:rFonts w:ascii="Times New Roman" w:hAnsi="Times New Roman" w:cs="Times New Roman"/>
          <w:sz w:val="24"/>
          <w:szCs w:val="24"/>
          <w:lang w:val="en-US"/>
        </w:rPr>
        <w:t xml:space="preserve"> mind, we now analyze the cause</w:t>
      </w:r>
      <w:r w:rsidR="00913FB9" w:rsidRPr="008210C1">
        <w:rPr>
          <w:rFonts w:ascii="Times New Roman" w:hAnsi="Times New Roman" w:cs="Times New Roman"/>
          <w:sz w:val="24"/>
          <w:szCs w:val="24"/>
          <w:lang w:val="en-US"/>
        </w:rPr>
        <w:t>s</w:t>
      </w:r>
      <w:r w:rsidR="00392BC0" w:rsidRPr="008210C1">
        <w:rPr>
          <w:rFonts w:ascii="Times New Roman" w:hAnsi="Times New Roman" w:cs="Times New Roman"/>
          <w:sz w:val="24"/>
          <w:szCs w:val="24"/>
          <w:lang w:val="en-US"/>
        </w:rPr>
        <w:t xml:space="preserve"> </w:t>
      </w:r>
      <w:r w:rsidR="00913FB9" w:rsidRPr="008210C1">
        <w:rPr>
          <w:rFonts w:ascii="Times New Roman" w:hAnsi="Times New Roman" w:cs="Times New Roman"/>
          <w:sz w:val="24"/>
          <w:szCs w:val="24"/>
          <w:lang w:val="en-US"/>
        </w:rPr>
        <w:t xml:space="preserve">of </w:t>
      </w:r>
      <w:r w:rsidR="00392BC0" w:rsidRPr="008210C1">
        <w:rPr>
          <w:rFonts w:ascii="Times New Roman" w:hAnsi="Times New Roman" w:cs="Times New Roman"/>
          <w:sz w:val="24"/>
          <w:szCs w:val="24"/>
          <w:lang w:val="en-US"/>
        </w:rPr>
        <w:t xml:space="preserve">the meltdown of the Brazilian economy </w:t>
      </w:r>
      <w:r w:rsidR="00170CD0" w:rsidRPr="008210C1">
        <w:rPr>
          <w:rFonts w:ascii="Times New Roman" w:hAnsi="Times New Roman" w:cs="Times New Roman"/>
          <w:sz w:val="24"/>
          <w:szCs w:val="24"/>
          <w:lang w:val="en-US"/>
        </w:rPr>
        <w:t xml:space="preserve">from 2014 </w:t>
      </w:r>
      <w:r w:rsidR="00F70F95" w:rsidRPr="008210C1">
        <w:rPr>
          <w:rFonts w:ascii="Times New Roman" w:hAnsi="Times New Roman" w:cs="Times New Roman"/>
          <w:sz w:val="24"/>
          <w:szCs w:val="24"/>
          <w:lang w:val="en-US"/>
        </w:rPr>
        <w:t>and subsequently</w:t>
      </w:r>
      <w:r w:rsidR="00170CD0" w:rsidRPr="008210C1">
        <w:rPr>
          <w:rFonts w:ascii="Times New Roman" w:hAnsi="Times New Roman" w:cs="Times New Roman"/>
          <w:sz w:val="24"/>
          <w:szCs w:val="24"/>
          <w:lang w:val="en-US"/>
        </w:rPr>
        <w:t>.</w:t>
      </w:r>
      <w:r w:rsidR="00170CD0" w:rsidRPr="008210C1">
        <w:rPr>
          <w:rStyle w:val="Refdenotaderodap"/>
          <w:rFonts w:ascii="Times New Roman" w:hAnsi="Times New Roman" w:cs="Times New Roman"/>
          <w:sz w:val="24"/>
          <w:szCs w:val="24"/>
          <w:lang w:val="en-US"/>
        </w:rPr>
        <w:footnoteReference w:id="5"/>
      </w:r>
      <w:r w:rsidR="00170CD0" w:rsidRPr="008210C1">
        <w:rPr>
          <w:rFonts w:ascii="Times New Roman" w:hAnsi="Times New Roman" w:cs="Times New Roman"/>
          <w:sz w:val="24"/>
          <w:szCs w:val="24"/>
          <w:lang w:val="en-US"/>
        </w:rPr>
        <w:t xml:space="preserve"> </w:t>
      </w:r>
      <w:r w:rsidR="00392BC0" w:rsidRPr="008210C1">
        <w:rPr>
          <w:rFonts w:ascii="Times New Roman" w:hAnsi="Times New Roman" w:cs="Times New Roman"/>
          <w:sz w:val="24"/>
          <w:szCs w:val="24"/>
          <w:lang w:val="en-US"/>
        </w:rPr>
        <w:t xml:space="preserve"> </w:t>
      </w:r>
    </w:p>
    <w:p w:rsidR="002A1F42" w:rsidRPr="008210C1" w:rsidRDefault="002A1F42" w:rsidP="008210C1">
      <w:pPr>
        <w:pStyle w:val="Commarcadores"/>
        <w:numPr>
          <w:ilvl w:val="0"/>
          <w:numId w:val="0"/>
        </w:numPr>
        <w:spacing w:after="0" w:line="240" w:lineRule="auto"/>
        <w:jc w:val="both"/>
        <w:outlineLvl w:val="0"/>
        <w:rPr>
          <w:rFonts w:ascii="Times New Roman" w:hAnsi="Times New Roman" w:cs="Times New Roman"/>
          <w:b/>
          <w:sz w:val="24"/>
          <w:szCs w:val="24"/>
          <w:lang w:val="en-US"/>
        </w:rPr>
      </w:pPr>
    </w:p>
    <w:p w:rsidR="00D33C37" w:rsidRPr="008210C1" w:rsidRDefault="00D33C37" w:rsidP="008210C1">
      <w:pPr>
        <w:pStyle w:val="Commarcadores"/>
        <w:numPr>
          <w:ilvl w:val="0"/>
          <w:numId w:val="0"/>
        </w:numPr>
        <w:spacing w:after="0" w:line="240" w:lineRule="auto"/>
        <w:jc w:val="both"/>
        <w:outlineLvl w:val="0"/>
        <w:rPr>
          <w:rFonts w:ascii="Times New Roman" w:hAnsi="Times New Roman" w:cs="Times New Roman"/>
          <w:b/>
          <w:sz w:val="24"/>
          <w:szCs w:val="24"/>
          <w:lang w:val="en-US"/>
        </w:rPr>
      </w:pPr>
      <w:r w:rsidRPr="008210C1">
        <w:rPr>
          <w:rFonts w:ascii="Times New Roman" w:hAnsi="Times New Roman" w:cs="Times New Roman"/>
          <w:b/>
          <w:sz w:val="24"/>
          <w:szCs w:val="24"/>
          <w:lang w:val="en-US"/>
        </w:rPr>
        <w:t>4.1 – Exchange Rate Policy and Conventions</w:t>
      </w:r>
    </w:p>
    <w:p w:rsidR="00F70F95" w:rsidRPr="008210C1" w:rsidRDefault="00F2125D" w:rsidP="008210C1">
      <w:pPr>
        <w:spacing w:after="0" w:line="240" w:lineRule="auto"/>
        <w:ind w:firstLine="709"/>
        <w:jc w:val="both"/>
        <w:rPr>
          <w:rFonts w:ascii="Times New Roman" w:eastAsia="Times New Roman" w:hAnsi="Times New Roman" w:cs="Times New Roman"/>
          <w:sz w:val="24"/>
          <w:szCs w:val="24"/>
          <w:lang w:val="en-US" w:eastAsia="pt-BR"/>
        </w:rPr>
      </w:pPr>
      <w:r w:rsidRPr="008210C1">
        <w:rPr>
          <w:rFonts w:ascii="Times New Roman" w:hAnsi="Times New Roman" w:cs="Times New Roman"/>
          <w:sz w:val="24"/>
          <w:szCs w:val="24"/>
          <w:lang w:val="en-US"/>
        </w:rPr>
        <w:t>Starting with t</w:t>
      </w:r>
      <w:r w:rsidR="00A100FA" w:rsidRPr="008210C1">
        <w:rPr>
          <w:rFonts w:ascii="Times New Roman" w:hAnsi="Times New Roman" w:cs="Times New Roman"/>
          <w:sz w:val="24"/>
          <w:szCs w:val="24"/>
          <w:lang w:val="en-US"/>
        </w:rPr>
        <w:t xml:space="preserve">he </w:t>
      </w:r>
      <w:r w:rsidR="00D55425" w:rsidRPr="008210C1">
        <w:rPr>
          <w:rFonts w:ascii="Times New Roman" w:hAnsi="Times New Roman" w:cs="Times New Roman"/>
          <w:sz w:val="24"/>
          <w:szCs w:val="24"/>
          <w:lang w:val="en-US"/>
        </w:rPr>
        <w:t>ERP</w:t>
      </w:r>
      <w:r w:rsidR="00A100FA" w:rsidRPr="008210C1">
        <w:rPr>
          <w:rFonts w:ascii="Times New Roman" w:hAnsi="Times New Roman" w:cs="Times New Roman"/>
          <w:sz w:val="24"/>
          <w:szCs w:val="24"/>
          <w:lang w:val="en-US"/>
        </w:rPr>
        <w:t xml:space="preserve">, </w:t>
      </w:r>
      <w:r w:rsidR="00C6517A" w:rsidRPr="008210C1">
        <w:rPr>
          <w:rFonts w:ascii="Times New Roman" w:hAnsi="Times New Roman" w:cs="Times New Roman"/>
          <w:sz w:val="24"/>
          <w:szCs w:val="24"/>
          <w:lang w:val="en-US"/>
        </w:rPr>
        <w:t xml:space="preserve">the Brazilian currency </w:t>
      </w:r>
      <w:r w:rsidR="00277911" w:rsidRPr="008210C1">
        <w:rPr>
          <w:rFonts w:ascii="Times New Roman" w:hAnsi="Times New Roman" w:cs="Times New Roman"/>
          <w:sz w:val="24"/>
          <w:szCs w:val="24"/>
          <w:lang w:val="en-US"/>
        </w:rPr>
        <w:t xml:space="preserve">was kept overvalued </w:t>
      </w:r>
      <w:r w:rsidR="00C6517A" w:rsidRPr="008210C1">
        <w:rPr>
          <w:rFonts w:ascii="Times New Roman" w:hAnsi="Times New Roman" w:cs="Times New Roman"/>
          <w:sz w:val="24"/>
          <w:szCs w:val="24"/>
          <w:lang w:val="en-US"/>
        </w:rPr>
        <w:t xml:space="preserve">in real terms </w:t>
      </w:r>
      <w:r w:rsidR="002A1F42" w:rsidRPr="008210C1">
        <w:rPr>
          <w:rFonts w:ascii="Times New Roman" w:hAnsi="Times New Roman" w:cs="Times New Roman"/>
          <w:sz w:val="24"/>
          <w:szCs w:val="24"/>
          <w:lang w:val="en-US"/>
        </w:rPr>
        <w:t>almost</w:t>
      </w:r>
      <w:r w:rsidR="00544949" w:rsidRPr="008210C1">
        <w:rPr>
          <w:rFonts w:ascii="Times New Roman" w:hAnsi="Times New Roman" w:cs="Times New Roman"/>
          <w:sz w:val="24"/>
          <w:szCs w:val="24"/>
          <w:lang w:val="en-US"/>
        </w:rPr>
        <w:t xml:space="preserve"> </w:t>
      </w:r>
      <w:r w:rsidR="00F70F95" w:rsidRPr="008210C1">
        <w:rPr>
          <w:rFonts w:ascii="Times New Roman" w:hAnsi="Times New Roman" w:cs="Times New Roman"/>
          <w:sz w:val="24"/>
          <w:szCs w:val="24"/>
          <w:lang w:val="en-US"/>
        </w:rPr>
        <w:t xml:space="preserve">over </w:t>
      </w:r>
      <w:r w:rsidR="00544949" w:rsidRPr="008210C1">
        <w:rPr>
          <w:rFonts w:ascii="Times New Roman" w:hAnsi="Times New Roman" w:cs="Times New Roman"/>
          <w:sz w:val="24"/>
          <w:szCs w:val="24"/>
          <w:lang w:val="en-US"/>
        </w:rPr>
        <w:t>the</w:t>
      </w:r>
      <w:r w:rsidR="002A1F42" w:rsidRPr="008210C1">
        <w:rPr>
          <w:rFonts w:ascii="Times New Roman" w:hAnsi="Times New Roman" w:cs="Times New Roman"/>
          <w:sz w:val="24"/>
          <w:szCs w:val="24"/>
          <w:lang w:val="en-US"/>
        </w:rPr>
        <w:t xml:space="preserve"> full</w:t>
      </w:r>
      <w:r w:rsidR="00544949" w:rsidRPr="008210C1">
        <w:rPr>
          <w:rFonts w:ascii="Times New Roman" w:hAnsi="Times New Roman" w:cs="Times New Roman"/>
          <w:sz w:val="24"/>
          <w:szCs w:val="24"/>
          <w:lang w:val="en-US"/>
        </w:rPr>
        <w:t xml:space="preserve"> period 2011</w:t>
      </w:r>
      <w:r w:rsidR="00A100FA" w:rsidRPr="008210C1">
        <w:rPr>
          <w:rFonts w:ascii="Times New Roman" w:hAnsi="Times New Roman" w:cs="Times New Roman"/>
          <w:sz w:val="24"/>
          <w:szCs w:val="24"/>
          <w:lang w:val="en-US"/>
        </w:rPr>
        <w:t>-2016</w:t>
      </w:r>
      <w:r w:rsidR="00544949" w:rsidRPr="008210C1">
        <w:rPr>
          <w:rFonts w:ascii="Times New Roman" w:hAnsi="Times New Roman" w:cs="Times New Roman"/>
          <w:sz w:val="24"/>
          <w:szCs w:val="24"/>
          <w:lang w:val="en-US"/>
        </w:rPr>
        <w:t>.</w:t>
      </w:r>
      <w:r w:rsidR="00F9349A" w:rsidRPr="008210C1">
        <w:rPr>
          <w:rFonts w:ascii="Times New Roman" w:hAnsi="Times New Roman" w:cs="Times New Roman"/>
          <w:sz w:val="24"/>
          <w:szCs w:val="24"/>
          <w:lang w:val="en-US"/>
        </w:rPr>
        <w:t xml:space="preserve"> Regulations on capital flows and foreign exchange derivatives were adopted by the </w:t>
      </w:r>
      <w:r w:rsidR="00AC3589" w:rsidRPr="008210C1">
        <w:rPr>
          <w:rFonts w:ascii="Times New Roman" w:hAnsi="Times New Roman" w:cs="Times New Roman"/>
          <w:sz w:val="24"/>
          <w:szCs w:val="24"/>
          <w:lang w:val="en-US"/>
        </w:rPr>
        <w:t xml:space="preserve">government </w:t>
      </w:r>
      <w:r w:rsidR="00A926BB" w:rsidRPr="008210C1">
        <w:rPr>
          <w:rFonts w:ascii="Times New Roman" w:hAnsi="Times New Roman" w:cs="Times New Roman"/>
          <w:sz w:val="24"/>
          <w:szCs w:val="24"/>
          <w:lang w:val="en-US"/>
        </w:rPr>
        <w:t>(De Pau</w:t>
      </w:r>
      <w:r w:rsidR="00D71F74" w:rsidRPr="008210C1">
        <w:rPr>
          <w:rFonts w:ascii="Times New Roman" w:hAnsi="Times New Roman" w:cs="Times New Roman"/>
          <w:sz w:val="24"/>
          <w:szCs w:val="24"/>
          <w:lang w:val="en-US"/>
        </w:rPr>
        <w:t>la and</w:t>
      </w:r>
      <w:r w:rsidR="00A926BB" w:rsidRPr="008210C1">
        <w:rPr>
          <w:rFonts w:ascii="Times New Roman" w:hAnsi="Times New Roman" w:cs="Times New Roman"/>
          <w:sz w:val="24"/>
          <w:szCs w:val="24"/>
          <w:lang w:val="en-US"/>
        </w:rPr>
        <w:t xml:space="preserve"> Prates, 201</w:t>
      </w:r>
      <w:r w:rsidR="00D71F74" w:rsidRPr="008210C1">
        <w:rPr>
          <w:rFonts w:ascii="Times New Roman" w:hAnsi="Times New Roman" w:cs="Times New Roman"/>
          <w:sz w:val="24"/>
          <w:szCs w:val="24"/>
          <w:lang w:val="en-US"/>
        </w:rPr>
        <w:t>5</w:t>
      </w:r>
      <w:r w:rsidR="00A926BB" w:rsidRPr="008210C1">
        <w:rPr>
          <w:rFonts w:ascii="Times New Roman" w:hAnsi="Times New Roman" w:cs="Times New Roman"/>
          <w:sz w:val="24"/>
          <w:szCs w:val="24"/>
          <w:lang w:val="en-US"/>
        </w:rPr>
        <w:t>)</w:t>
      </w:r>
      <w:r w:rsidR="00F9349A" w:rsidRPr="008210C1">
        <w:rPr>
          <w:rFonts w:ascii="Times New Roman" w:hAnsi="Times New Roman" w:cs="Times New Roman"/>
          <w:sz w:val="24"/>
          <w:szCs w:val="24"/>
          <w:lang w:val="en-US"/>
        </w:rPr>
        <w:t>, but it was not sufficient to eliminate the great currency appreciation observed during the last years.</w:t>
      </w:r>
      <w:r w:rsidR="00544949" w:rsidRPr="008210C1">
        <w:rPr>
          <w:rFonts w:ascii="Times New Roman" w:hAnsi="Times New Roman" w:cs="Times New Roman"/>
          <w:sz w:val="24"/>
          <w:szCs w:val="24"/>
          <w:lang w:val="en-US"/>
        </w:rPr>
        <w:t xml:space="preserve"> </w:t>
      </w:r>
      <w:r w:rsidR="00F70F95" w:rsidRPr="008210C1">
        <w:rPr>
          <w:rFonts w:ascii="Times New Roman" w:hAnsi="Times New Roman" w:cs="Times New Roman"/>
          <w:sz w:val="24"/>
          <w:szCs w:val="24"/>
          <w:lang w:val="en-US"/>
        </w:rPr>
        <w:t>Figure</w:t>
      </w:r>
      <w:r w:rsidR="007927D9" w:rsidRPr="008210C1">
        <w:rPr>
          <w:rFonts w:ascii="Times New Roman" w:hAnsi="Times New Roman" w:cs="Times New Roman"/>
          <w:sz w:val="24"/>
          <w:szCs w:val="24"/>
          <w:lang w:val="en-US"/>
        </w:rPr>
        <w:t xml:space="preserve"> 1 reports that at the beginning of 2011, the real exchange rate</w:t>
      </w:r>
      <w:r w:rsidR="004B425D" w:rsidRPr="008210C1">
        <w:rPr>
          <w:rFonts w:ascii="Times New Roman" w:hAnsi="Times New Roman" w:cs="Times New Roman"/>
          <w:sz w:val="24"/>
          <w:szCs w:val="24"/>
          <w:lang w:val="en-US"/>
        </w:rPr>
        <w:t xml:space="preserve"> (RER)</w:t>
      </w:r>
      <w:r w:rsidR="007927D9" w:rsidRPr="008210C1">
        <w:rPr>
          <w:rFonts w:ascii="Times New Roman" w:hAnsi="Times New Roman" w:cs="Times New Roman"/>
          <w:sz w:val="24"/>
          <w:szCs w:val="24"/>
          <w:lang w:val="en-US"/>
        </w:rPr>
        <w:t xml:space="preserve"> attained its </w:t>
      </w:r>
      <w:r w:rsidR="0062554F" w:rsidRPr="008210C1">
        <w:rPr>
          <w:rFonts w:ascii="Times New Roman" w:hAnsi="Times New Roman" w:cs="Times New Roman"/>
          <w:sz w:val="24"/>
          <w:szCs w:val="24"/>
          <w:lang w:val="en-US"/>
        </w:rPr>
        <w:t>highest</w:t>
      </w:r>
      <w:r w:rsidR="007927D9" w:rsidRPr="008210C1">
        <w:rPr>
          <w:rFonts w:ascii="Times New Roman" w:hAnsi="Times New Roman" w:cs="Times New Roman"/>
          <w:sz w:val="24"/>
          <w:szCs w:val="24"/>
          <w:lang w:val="en-US"/>
        </w:rPr>
        <w:t xml:space="preserve"> level, with a soft devaluation </w:t>
      </w:r>
      <w:r w:rsidR="00E96022" w:rsidRPr="008210C1">
        <w:rPr>
          <w:rFonts w:ascii="Times New Roman" w:hAnsi="Times New Roman" w:cs="Times New Roman"/>
          <w:sz w:val="24"/>
          <w:szCs w:val="24"/>
          <w:lang w:val="en-US"/>
        </w:rPr>
        <w:t>starting</w:t>
      </w:r>
      <w:r w:rsidR="00F70F95" w:rsidRPr="008210C1">
        <w:rPr>
          <w:rFonts w:ascii="Times New Roman" w:hAnsi="Times New Roman" w:cs="Times New Roman"/>
          <w:sz w:val="24"/>
          <w:szCs w:val="24"/>
          <w:lang w:val="en-US"/>
        </w:rPr>
        <w:t xml:space="preserve"> in </w:t>
      </w:r>
      <w:r w:rsidR="007927D9" w:rsidRPr="008210C1">
        <w:rPr>
          <w:rFonts w:ascii="Times New Roman" w:hAnsi="Times New Roman" w:cs="Times New Roman"/>
          <w:sz w:val="24"/>
          <w:szCs w:val="24"/>
          <w:lang w:val="en-US"/>
        </w:rPr>
        <w:t xml:space="preserve">2012. This overvalued </w:t>
      </w:r>
      <w:r w:rsidR="001C21E4" w:rsidRPr="008210C1">
        <w:rPr>
          <w:rFonts w:ascii="Times New Roman" w:hAnsi="Times New Roman" w:cs="Times New Roman"/>
          <w:sz w:val="24"/>
          <w:szCs w:val="24"/>
          <w:lang w:val="en-US"/>
        </w:rPr>
        <w:t>RER</w:t>
      </w:r>
      <w:r w:rsidR="007927D9" w:rsidRPr="008210C1">
        <w:rPr>
          <w:rFonts w:ascii="Times New Roman" w:hAnsi="Times New Roman" w:cs="Times New Roman"/>
          <w:sz w:val="24"/>
          <w:szCs w:val="24"/>
          <w:lang w:val="en-US"/>
        </w:rPr>
        <w:t xml:space="preserve"> brought the following consequences to Brazil: smashed profits in the tradeable goods sector</w:t>
      </w:r>
      <w:r w:rsidR="00F70F95" w:rsidRPr="008210C1">
        <w:rPr>
          <w:rFonts w:ascii="Times New Roman" w:hAnsi="Times New Roman" w:cs="Times New Roman"/>
          <w:sz w:val="24"/>
          <w:szCs w:val="24"/>
          <w:lang w:val="en-US"/>
        </w:rPr>
        <w:t>,</w:t>
      </w:r>
      <w:r w:rsidR="007927D9" w:rsidRPr="008210C1">
        <w:rPr>
          <w:rFonts w:ascii="Times New Roman" w:hAnsi="Times New Roman" w:cs="Times New Roman"/>
          <w:sz w:val="24"/>
          <w:szCs w:val="24"/>
          <w:lang w:val="en-US"/>
        </w:rPr>
        <w:t xml:space="preserve"> </w:t>
      </w:r>
      <w:r w:rsidR="00F70F95" w:rsidRPr="008210C1">
        <w:rPr>
          <w:rFonts w:ascii="Times New Roman" w:hAnsi="Times New Roman" w:cs="Times New Roman"/>
          <w:sz w:val="24"/>
          <w:szCs w:val="24"/>
          <w:lang w:val="en-US"/>
        </w:rPr>
        <w:t>especially so</w:t>
      </w:r>
      <w:r w:rsidR="007927D9" w:rsidRPr="008210C1">
        <w:rPr>
          <w:rFonts w:ascii="Times New Roman" w:hAnsi="Times New Roman" w:cs="Times New Roman"/>
          <w:sz w:val="24"/>
          <w:szCs w:val="24"/>
          <w:lang w:val="en-US"/>
        </w:rPr>
        <w:t xml:space="preserve"> given that</w:t>
      </w:r>
      <w:r w:rsidR="00F70F95" w:rsidRPr="008210C1">
        <w:rPr>
          <w:rFonts w:ascii="Times New Roman" w:hAnsi="Times New Roman" w:cs="Times New Roman"/>
          <w:sz w:val="24"/>
          <w:szCs w:val="24"/>
          <w:lang w:val="en-US"/>
        </w:rPr>
        <w:t xml:space="preserve"> </w:t>
      </w:r>
      <w:r w:rsidR="007927D9" w:rsidRPr="008210C1">
        <w:rPr>
          <w:rFonts w:ascii="Times New Roman" w:hAnsi="Times New Roman" w:cs="Times New Roman"/>
          <w:sz w:val="24"/>
          <w:szCs w:val="24"/>
          <w:lang w:val="en-US"/>
        </w:rPr>
        <w:t>there was a ceiling for investments in the manufacturing industry and for productivity gains in the whole economy.</w:t>
      </w:r>
      <w:r w:rsidR="007927D9" w:rsidRPr="008210C1">
        <w:rPr>
          <w:rStyle w:val="Refdenotaderodap"/>
          <w:rFonts w:ascii="Times New Roman" w:hAnsi="Times New Roman" w:cs="Times New Roman"/>
          <w:sz w:val="24"/>
          <w:szCs w:val="24"/>
          <w:lang w:val="en-US"/>
        </w:rPr>
        <w:footnoteReference w:id="6"/>
      </w:r>
      <w:r w:rsidR="007927D9" w:rsidRPr="008210C1">
        <w:rPr>
          <w:rFonts w:ascii="Times New Roman" w:hAnsi="Times New Roman" w:cs="Times New Roman"/>
          <w:sz w:val="24"/>
          <w:szCs w:val="24"/>
          <w:lang w:val="en-US"/>
        </w:rPr>
        <w:t xml:space="preserve"> This process had a large brunt, going from low investment/GDP ratio to the re</w:t>
      </w:r>
      <w:r w:rsidR="00F70F95" w:rsidRPr="008210C1">
        <w:rPr>
          <w:rFonts w:ascii="Times New Roman" w:hAnsi="Times New Roman" w:cs="Times New Roman"/>
          <w:sz w:val="24"/>
          <w:szCs w:val="24"/>
          <w:lang w:val="en-US"/>
        </w:rPr>
        <w:t>-</w:t>
      </w:r>
      <w:r w:rsidR="007927D9" w:rsidRPr="008210C1">
        <w:rPr>
          <w:rFonts w:ascii="Times New Roman" w:hAnsi="Times New Roman" w:cs="Times New Roman"/>
          <w:sz w:val="24"/>
          <w:szCs w:val="24"/>
          <w:lang w:val="en-US"/>
        </w:rPr>
        <w:t>escalation of the primary sector both in the Brazilian GDP and exports (</w:t>
      </w:r>
      <w:proofErr w:type="spellStart"/>
      <w:r w:rsidR="00EE4D2B" w:rsidRPr="008210C1">
        <w:rPr>
          <w:rFonts w:ascii="Times New Roman" w:hAnsi="Times New Roman" w:cs="Times New Roman"/>
          <w:sz w:val="24"/>
          <w:szCs w:val="24"/>
          <w:lang w:val="en-US"/>
        </w:rPr>
        <w:t>Bresser</w:t>
      </w:r>
      <w:proofErr w:type="spellEnd"/>
      <w:r w:rsidR="00EE4D2B" w:rsidRPr="008210C1">
        <w:rPr>
          <w:rFonts w:ascii="Times New Roman" w:hAnsi="Times New Roman" w:cs="Times New Roman"/>
          <w:sz w:val="24"/>
          <w:szCs w:val="24"/>
          <w:lang w:val="en-US"/>
        </w:rPr>
        <w:t>-Pereira et al, 201</w:t>
      </w:r>
      <w:r w:rsidR="00F70FB7" w:rsidRPr="008210C1">
        <w:rPr>
          <w:rFonts w:ascii="Times New Roman" w:hAnsi="Times New Roman" w:cs="Times New Roman"/>
          <w:sz w:val="24"/>
          <w:szCs w:val="24"/>
          <w:lang w:val="en-US"/>
        </w:rPr>
        <w:t>5</w:t>
      </w:r>
      <w:r w:rsidR="00EE4D2B" w:rsidRPr="008210C1">
        <w:rPr>
          <w:rFonts w:ascii="Times New Roman" w:hAnsi="Times New Roman" w:cs="Times New Roman"/>
          <w:sz w:val="24"/>
          <w:szCs w:val="24"/>
          <w:lang w:val="en-US"/>
        </w:rPr>
        <w:t xml:space="preserve">; </w:t>
      </w:r>
      <w:r w:rsidR="007927D9" w:rsidRPr="008210C1">
        <w:rPr>
          <w:rFonts w:ascii="Times New Roman" w:hAnsi="Times New Roman" w:cs="Times New Roman"/>
          <w:sz w:val="24"/>
          <w:szCs w:val="24"/>
          <w:lang w:val="en-US"/>
        </w:rPr>
        <w:t>Rossi and Mello, 2016).</w:t>
      </w:r>
      <w:r w:rsidR="007927D9" w:rsidRPr="008210C1">
        <w:rPr>
          <w:rStyle w:val="Refdenotaderodap"/>
          <w:rFonts w:ascii="Times New Roman" w:hAnsi="Times New Roman" w:cs="Times New Roman"/>
          <w:sz w:val="24"/>
          <w:szCs w:val="24"/>
          <w:lang w:val="en-US"/>
        </w:rPr>
        <w:footnoteReference w:id="7"/>
      </w:r>
      <w:r w:rsidR="007927D9" w:rsidRPr="008210C1">
        <w:rPr>
          <w:rFonts w:ascii="Times New Roman" w:hAnsi="Times New Roman" w:cs="Times New Roman"/>
          <w:sz w:val="24"/>
          <w:szCs w:val="24"/>
          <w:lang w:val="en-US"/>
        </w:rPr>
        <w:t xml:space="preserve"> </w:t>
      </w:r>
      <w:r w:rsidR="001B66BB" w:rsidRPr="008210C1">
        <w:rPr>
          <w:rFonts w:ascii="Times New Roman" w:eastAsia="Times New Roman" w:hAnsi="Times New Roman" w:cs="Times New Roman"/>
          <w:sz w:val="24"/>
          <w:szCs w:val="24"/>
          <w:lang w:val="en-US" w:eastAsia="pt-BR"/>
        </w:rPr>
        <w:t>I</w:t>
      </w:r>
      <w:r w:rsidR="007927D9" w:rsidRPr="008210C1">
        <w:rPr>
          <w:rFonts w:ascii="Times New Roman" w:eastAsia="Times New Roman" w:hAnsi="Times New Roman" w:cs="Times New Roman"/>
          <w:sz w:val="24"/>
          <w:szCs w:val="24"/>
          <w:lang w:val="en-US" w:eastAsia="pt-BR"/>
        </w:rPr>
        <w:t>nvestment reached 20</w:t>
      </w:r>
      <w:r w:rsidR="001B66BB" w:rsidRPr="008210C1">
        <w:rPr>
          <w:rFonts w:ascii="Times New Roman" w:eastAsia="Times New Roman" w:hAnsi="Times New Roman" w:cs="Times New Roman"/>
          <w:sz w:val="24"/>
          <w:szCs w:val="24"/>
          <w:lang w:val="en-US" w:eastAsia="pt-BR"/>
        </w:rPr>
        <w:t>.</w:t>
      </w:r>
      <w:r w:rsidR="007927D9" w:rsidRPr="008210C1">
        <w:rPr>
          <w:rFonts w:ascii="Times New Roman" w:eastAsia="Times New Roman" w:hAnsi="Times New Roman" w:cs="Times New Roman"/>
          <w:sz w:val="24"/>
          <w:szCs w:val="24"/>
          <w:lang w:val="en-US" w:eastAsia="pt-BR"/>
        </w:rPr>
        <w:t>9% of the GDP in 2013</w:t>
      </w:r>
      <w:r w:rsidR="003161C6" w:rsidRPr="008210C1">
        <w:rPr>
          <w:rFonts w:ascii="Times New Roman" w:eastAsia="Times New Roman" w:hAnsi="Times New Roman" w:cs="Times New Roman"/>
          <w:sz w:val="24"/>
          <w:szCs w:val="24"/>
          <w:lang w:val="en-US" w:eastAsia="pt-BR"/>
        </w:rPr>
        <w:t xml:space="preserve"> (</w:t>
      </w:r>
      <w:proofErr w:type="spellStart"/>
      <w:r w:rsidR="003161C6" w:rsidRPr="008210C1">
        <w:rPr>
          <w:rFonts w:ascii="Times New Roman" w:eastAsia="Times New Roman" w:hAnsi="Times New Roman" w:cs="Times New Roman"/>
          <w:sz w:val="24"/>
          <w:szCs w:val="24"/>
          <w:lang w:val="en-US" w:eastAsia="pt-BR"/>
        </w:rPr>
        <w:t>Ipeadata</w:t>
      </w:r>
      <w:proofErr w:type="spellEnd"/>
      <w:r w:rsidR="003161C6" w:rsidRPr="008210C1">
        <w:rPr>
          <w:rFonts w:ascii="Times New Roman" w:eastAsia="Times New Roman" w:hAnsi="Times New Roman" w:cs="Times New Roman"/>
          <w:sz w:val="24"/>
          <w:szCs w:val="24"/>
          <w:lang w:val="en-US" w:eastAsia="pt-BR"/>
        </w:rPr>
        <w:t>, 2017)</w:t>
      </w:r>
      <w:r w:rsidR="007927D9" w:rsidRPr="008210C1">
        <w:rPr>
          <w:rFonts w:ascii="Times New Roman" w:eastAsia="Times New Roman" w:hAnsi="Times New Roman" w:cs="Times New Roman"/>
          <w:sz w:val="24"/>
          <w:szCs w:val="24"/>
          <w:lang w:val="en-US" w:eastAsia="pt-BR"/>
        </w:rPr>
        <w:t xml:space="preserve">, </w:t>
      </w:r>
      <w:r w:rsidR="00E96022" w:rsidRPr="008210C1">
        <w:rPr>
          <w:rFonts w:ascii="Times New Roman" w:eastAsia="Times New Roman" w:hAnsi="Times New Roman" w:cs="Times New Roman"/>
          <w:sz w:val="24"/>
          <w:szCs w:val="24"/>
          <w:lang w:val="en-US" w:eastAsia="pt-BR"/>
        </w:rPr>
        <w:t xml:space="preserve">the </w:t>
      </w:r>
      <w:r w:rsidR="007927D9" w:rsidRPr="008210C1">
        <w:rPr>
          <w:rFonts w:ascii="Times New Roman" w:eastAsia="Times New Roman" w:hAnsi="Times New Roman" w:cs="Times New Roman"/>
          <w:sz w:val="24"/>
          <w:szCs w:val="24"/>
          <w:lang w:val="en-US" w:eastAsia="pt-BR"/>
        </w:rPr>
        <w:t xml:space="preserve">highest </w:t>
      </w:r>
      <w:r w:rsidR="003161C6" w:rsidRPr="008210C1">
        <w:rPr>
          <w:rFonts w:ascii="Times New Roman" w:eastAsia="Times New Roman" w:hAnsi="Times New Roman" w:cs="Times New Roman"/>
          <w:sz w:val="24"/>
          <w:szCs w:val="24"/>
          <w:lang w:val="en-US" w:eastAsia="pt-BR"/>
        </w:rPr>
        <w:t>during</w:t>
      </w:r>
      <w:r w:rsidR="007927D9" w:rsidRPr="008210C1">
        <w:rPr>
          <w:rFonts w:ascii="Times New Roman" w:eastAsia="Times New Roman" w:hAnsi="Times New Roman" w:cs="Times New Roman"/>
          <w:sz w:val="24"/>
          <w:szCs w:val="24"/>
          <w:lang w:val="en-US" w:eastAsia="pt-BR"/>
        </w:rPr>
        <w:t xml:space="preserve"> 2003-2016, and dropped to 16</w:t>
      </w:r>
      <w:r w:rsidR="001B66BB" w:rsidRPr="008210C1">
        <w:rPr>
          <w:rFonts w:ascii="Times New Roman" w:eastAsia="Times New Roman" w:hAnsi="Times New Roman" w:cs="Times New Roman"/>
          <w:sz w:val="24"/>
          <w:szCs w:val="24"/>
          <w:lang w:val="en-US" w:eastAsia="pt-BR"/>
        </w:rPr>
        <w:t>.</w:t>
      </w:r>
      <w:r w:rsidR="007927D9" w:rsidRPr="008210C1">
        <w:rPr>
          <w:rFonts w:ascii="Times New Roman" w:eastAsia="Times New Roman" w:hAnsi="Times New Roman" w:cs="Times New Roman"/>
          <w:sz w:val="24"/>
          <w:szCs w:val="24"/>
          <w:lang w:val="en-US" w:eastAsia="pt-BR"/>
        </w:rPr>
        <w:t xml:space="preserve">4% in 2016 (IBGE, 2017). </w:t>
      </w:r>
    </w:p>
    <w:p w:rsidR="00286646" w:rsidRPr="008210C1" w:rsidRDefault="00286646" w:rsidP="008210C1">
      <w:pPr>
        <w:spacing w:after="0" w:line="240" w:lineRule="auto"/>
        <w:ind w:firstLine="709"/>
        <w:jc w:val="both"/>
        <w:rPr>
          <w:rFonts w:ascii="Times New Roman" w:eastAsia="Times New Roman" w:hAnsi="Times New Roman" w:cs="Times New Roman"/>
          <w:sz w:val="24"/>
          <w:szCs w:val="24"/>
          <w:lang w:val="en-US" w:eastAsia="pt-BR"/>
        </w:rPr>
      </w:pPr>
    </w:p>
    <w:p w:rsidR="00283193" w:rsidRPr="008210C1" w:rsidRDefault="00F70F95" w:rsidP="008210C1">
      <w:pPr>
        <w:pStyle w:val="Commarcadores"/>
        <w:numPr>
          <w:ilvl w:val="0"/>
          <w:numId w:val="0"/>
        </w:numPr>
        <w:spacing w:after="0" w:line="240" w:lineRule="auto"/>
        <w:jc w:val="center"/>
        <w:outlineLvl w:val="0"/>
        <w:rPr>
          <w:rFonts w:ascii="Times New Roman" w:hAnsi="Times New Roman" w:cs="Times New Roman"/>
          <w:sz w:val="24"/>
          <w:szCs w:val="24"/>
          <w:lang w:val="en-US"/>
        </w:rPr>
      </w:pPr>
      <w:r w:rsidRPr="008210C1">
        <w:rPr>
          <w:rFonts w:ascii="Times New Roman" w:hAnsi="Times New Roman" w:cs="Times New Roman"/>
          <w:sz w:val="24"/>
          <w:szCs w:val="24"/>
          <w:lang w:val="en-US"/>
        </w:rPr>
        <w:t>Figure</w:t>
      </w:r>
      <w:r w:rsidR="00283193" w:rsidRPr="008210C1">
        <w:rPr>
          <w:rFonts w:ascii="Times New Roman" w:hAnsi="Times New Roman" w:cs="Times New Roman"/>
          <w:sz w:val="24"/>
          <w:szCs w:val="24"/>
          <w:lang w:val="en-US"/>
        </w:rPr>
        <w:t xml:space="preserve"> 1 </w:t>
      </w:r>
      <w:r w:rsidR="003161C6" w:rsidRPr="008210C1">
        <w:rPr>
          <w:rFonts w:ascii="Times New Roman" w:hAnsi="Times New Roman" w:cs="Times New Roman"/>
          <w:sz w:val="24"/>
          <w:szCs w:val="24"/>
          <w:lang w:val="en-US"/>
        </w:rPr>
        <w:t>–</w:t>
      </w:r>
      <w:r w:rsidR="00283193" w:rsidRPr="008210C1">
        <w:rPr>
          <w:rFonts w:ascii="Times New Roman" w:hAnsi="Times New Roman" w:cs="Times New Roman"/>
          <w:sz w:val="24"/>
          <w:szCs w:val="24"/>
          <w:lang w:val="en-US"/>
        </w:rPr>
        <w:t xml:space="preserve"> Brazilian</w:t>
      </w:r>
      <w:r w:rsidR="003161C6" w:rsidRPr="008210C1">
        <w:rPr>
          <w:rFonts w:ascii="Times New Roman" w:hAnsi="Times New Roman" w:cs="Times New Roman"/>
          <w:sz w:val="24"/>
          <w:szCs w:val="24"/>
          <w:lang w:val="en-US"/>
        </w:rPr>
        <w:t>/US$</w:t>
      </w:r>
      <w:r w:rsidR="00283193" w:rsidRPr="008210C1">
        <w:rPr>
          <w:rFonts w:ascii="Times New Roman" w:hAnsi="Times New Roman" w:cs="Times New Roman"/>
          <w:sz w:val="24"/>
          <w:szCs w:val="24"/>
          <w:lang w:val="en-US"/>
        </w:rPr>
        <w:t xml:space="preserve"> Real Effective Exchange Rate, </w:t>
      </w:r>
      <w:r w:rsidR="00382C6D" w:rsidRPr="008210C1">
        <w:rPr>
          <w:rFonts w:ascii="Times New Roman" w:hAnsi="Times New Roman" w:cs="Times New Roman"/>
          <w:sz w:val="24"/>
          <w:szCs w:val="24"/>
          <w:lang w:val="en-US"/>
        </w:rPr>
        <w:t>2002-2016 (</w:t>
      </w:r>
      <w:r w:rsidR="00283193" w:rsidRPr="008210C1">
        <w:rPr>
          <w:rFonts w:ascii="Times New Roman" w:hAnsi="Times New Roman" w:cs="Times New Roman"/>
          <w:sz w:val="24"/>
          <w:szCs w:val="24"/>
          <w:lang w:val="en-US"/>
        </w:rPr>
        <w:t>2010 = 100</w:t>
      </w:r>
      <w:r w:rsidR="00382C6D" w:rsidRPr="008210C1">
        <w:rPr>
          <w:rFonts w:ascii="Times New Roman" w:hAnsi="Times New Roman" w:cs="Times New Roman"/>
          <w:sz w:val="24"/>
          <w:szCs w:val="24"/>
          <w:lang w:val="en-US"/>
        </w:rPr>
        <w:t>)</w:t>
      </w:r>
      <w:r w:rsidR="00283193" w:rsidRPr="008210C1">
        <w:rPr>
          <w:rFonts w:ascii="Times New Roman" w:hAnsi="Times New Roman" w:cs="Times New Roman"/>
          <w:noProof/>
          <w:sz w:val="24"/>
          <w:szCs w:val="24"/>
          <w:lang w:val="en-GB" w:eastAsia="en-GB"/>
        </w:rPr>
        <w:drawing>
          <wp:inline distT="0" distB="0" distL="0" distR="0">
            <wp:extent cx="4239695" cy="2498400"/>
            <wp:effectExtent l="0" t="0" r="889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70293" cy="2516431"/>
                    </a:xfrm>
                    <a:prstGeom prst="rect">
                      <a:avLst/>
                    </a:prstGeom>
                    <a:noFill/>
                    <a:ln w="9525">
                      <a:noFill/>
                      <a:miter lim="800000"/>
                      <a:headEnd/>
                      <a:tailEnd/>
                    </a:ln>
                  </pic:spPr>
                </pic:pic>
              </a:graphicData>
            </a:graphic>
          </wp:inline>
        </w:drawing>
      </w:r>
    </w:p>
    <w:p w:rsidR="00D33C37" w:rsidRPr="008210C1" w:rsidRDefault="007927D9" w:rsidP="008210C1">
      <w:pPr>
        <w:pStyle w:val="Commarcadores"/>
        <w:numPr>
          <w:ilvl w:val="0"/>
          <w:numId w:val="0"/>
        </w:numPr>
        <w:spacing w:after="0" w:line="240" w:lineRule="auto"/>
        <w:ind w:left="1068" w:firstLine="348"/>
        <w:jc w:val="both"/>
        <w:rPr>
          <w:rFonts w:ascii="Times New Roman" w:hAnsi="Times New Roman" w:cs="Times New Roman"/>
          <w:sz w:val="24"/>
          <w:szCs w:val="24"/>
          <w:lang w:val="en-GB"/>
        </w:rPr>
      </w:pPr>
      <w:r w:rsidRPr="008210C1">
        <w:rPr>
          <w:rFonts w:ascii="Times New Roman" w:hAnsi="Times New Roman" w:cs="Times New Roman"/>
          <w:sz w:val="24"/>
          <w:szCs w:val="24"/>
          <w:lang w:val="en-GB"/>
        </w:rPr>
        <w:t>Source</w:t>
      </w:r>
      <w:r w:rsidR="002A1F42" w:rsidRPr="008210C1">
        <w:rPr>
          <w:rFonts w:ascii="Times New Roman" w:hAnsi="Times New Roman" w:cs="Times New Roman"/>
          <w:sz w:val="24"/>
          <w:szCs w:val="24"/>
          <w:lang w:val="en-GB"/>
        </w:rPr>
        <w:t>:</w:t>
      </w:r>
      <w:r w:rsidRPr="008210C1">
        <w:rPr>
          <w:rFonts w:ascii="Times New Roman" w:hAnsi="Times New Roman" w:cs="Times New Roman"/>
          <w:sz w:val="24"/>
          <w:szCs w:val="24"/>
          <w:lang w:val="en-GB"/>
        </w:rPr>
        <w:t xml:space="preserve"> </w:t>
      </w:r>
      <w:proofErr w:type="spellStart"/>
      <w:r w:rsidR="002A1F42" w:rsidRPr="008210C1">
        <w:rPr>
          <w:rFonts w:ascii="Times New Roman" w:hAnsi="Times New Roman" w:cs="Times New Roman"/>
          <w:sz w:val="24"/>
          <w:szCs w:val="24"/>
          <w:lang w:val="en-GB"/>
        </w:rPr>
        <w:t>Ipeadata</w:t>
      </w:r>
      <w:proofErr w:type="spellEnd"/>
      <w:r w:rsidR="00283193" w:rsidRPr="008210C1">
        <w:rPr>
          <w:rFonts w:ascii="Times New Roman" w:hAnsi="Times New Roman" w:cs="Times New Roman"/>
          <w:sz w:val="24"/>
          <w:szCs w:val="24"/>
          <w:lang w:val="en-GB"/>
        </w:rPr>
        <w:t xml:space="preserve"> </w:t>
      </w:r>
      <w:r w:rsidR="002A1F42" w:rsidRPr="008210C1">
        <w:rPr>
          <w:rFonts w:ascii="Times New Roman" w:hAnsi="Times New Roman" w:cs="Times New Roman"/>
          <w:sz w:val="24"/>
          <w:szCs w:val="24"/>
          <w:lang w:val="en-GB"/>
        </w:rPr>
        <w:t>(</w:t>
      </w:r>
      <w:r w:rsidR="00283193" w:rsidRPr="008210C1">
        <w:rPr>
          <w:rFonts w:ascii="Times New Roman" w:hAnsi="Times New Roman" w:cs="Times New Roman"/>
          <w:sz w:val="24"/>
          <w:szCs w:val="24"/>
          <w:lang w:val="en-GB"/>
        </w:rPr>
        <w:t>2017</w:t>
      </w:r>
      <w:r w:rsidR="002A1F42" w:rsidRPr="008210C1">
        <w:rPr>
          <w:rFonts w:ascii="Times New Roman" w:hAnsi="Times New Roman" w:cs="Times New Roman"/>
          <w:sz w:val="24"/>
          <w:szCs w:val="24"/>
          <w:lang w:val="en-GB"/>
        </w:rPr>
        <w:t>)</w:t>
      </w:r>
      <w:r w:rsidR="00283193" w:rsidRPr="008210C1">
        <w:rPr>
          <w:rFonts w:ascii="Times New Roman" w:hAnsi="Times New Roman" w:cs="Times New Roman"/>
          <w:sz w:val="24"/>
          <w:szCs w:val="24"/>
          <w:lang w:val="en-GB"/>
        </w:rPr>
        <w:t>.</w:t>
      </w:r>
    </w:p>
    <w:p w:rsidR="007927D9" w:rsidRPr="008210C1" w:rsidRDefault="007927D9" w:rsidP="008210C1">
      <w:pPr>
        <w:spacing w:after="0" w:line="240" w:lineRule="auto"/>
        <w:ind w:firstLine="709"/>
        <w:jc w:val="both"/>
        <w:rPr>
          <w:rFonts w:ascii="Times New Roman" w:hAnsi="Times New Roman" w:cs="Times New Roman"/>
          <w:sz w:val="24"/>
          <w:szCs w:val="24"/>
          <w:lang w:val="en-US"/>
        </w:rPr>
      </w:pPr>
    </w:p>
    <w:p w:rsidR="00E96022" w:rsidRPr="008210C1" w:rsidRDefault="00E96022"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On the one hand, Gala (2008) argues that the manufacturing firms are the most dynamics because of their increasing returns of scale and technology-intensive products, features that enhance their learning-by-doing process and technological progress. On the other hand, an overvalued currency climbs the real wage in foreign money, changing the tradeable/non-tradeable trade terms in disfavor of the first, which greatly concerns the manufacturing industry. So, the overvalued currency implies profit rate reductions, </w:t>
      </w:r>
      <w:proofErr w:type="gramStart"/>
      <w:r w:rsidRPr="008210C1">
        <w:rPr>
          <w:rFonts w:ascii="Times New Roman" w:hAnsi="Times New Roman" w:cs="Times New Roman"/>
          <w:sz w:val="24"/>
          <w:szCs w:val="24"/>
          <w:lang w:val="en-US"/>
        </w:rPr>
        <w:t>in particular at</w:t>
      </w:r>
      <w:proofErr w:type="gramEnd"/>
      <w:r w:rsidRPr="008210C1">
        <w:rPr>
          <w:rFonts w:ascii="Times New Roman" w:hAnsi="Times New Roman" w:cs="Times New Roman"/>
          <w:sz w:val="24"/>
          <w:szCs w:val="24"/>
          <w:lang w:val="en-US"/>
        </w:rPr>
        <w:t xml:space="preserve"> the industrial sector, since non-</w:t>
      </w:r>
      <w:r w:rsidR="00EE4404" w:rsidRPr="008210C1">
        <w:rPr>
          <w:rFonts w:ascii="Times New Roman" w:hAnsi="Times New Roman" w:cs="Times New Roman"/>
          <w:sz w:val="24"/>
          <w:szCs w:val="24"/>
          <w:lang w:val="en-US"/>
        </w:rPr>
        <w:t>tradable</w:t>
      </w:r>
      <w:r w:rsidRPr="008210C1">
        <w:rPr>
          <w:rFonts w:ascii="Times New Roman" w:hAnsi="Times New Roman" w:cs="Times New Roman"/>
          <w:sz w:val="24"/>
          <w:szCs w:val="24"/>
          <w:lang w:val="en-US"/>
        </w:rPr>
        <w:t xml:space="preserve"> goods, workers included, are cost of production of </w:t>
      </w:r>
      <w:r w:rsidR="00EE4404" w:rsidRPr="008210C1">
        <w:rPr>
          <w:rFonts w:ascii="Times New Roman" w:hAnsi="Times New Roman" w:cs="Times New Roman"/>
          <w:sz w:val="24"/>
          <w:szCs w:val="24"/>
          <w:lang w:val="en-US"/>
        </w:rPr>
        <w:t>tradable</w:t>
      </w:r>
      <w:r w:rsidRPr="008210C1">
        <w:rPr>
          <w:rFonts w:ascii="Times New Roman" w:hAnsi="Times New Roman" w:cs="Times New Roman"/>
          <w:sz w:val="24"/>
          <w:szCs w:val="24"/>
          <w:lang w:val="en-US"/>
        </w:rPr>
        <w:t xml:space="preserve"> goods.</w:t>
      </w:r>
    </w:p>
    <w:p w:rsidR="0094792C" w:rsidRPr="008210C1" w:rsidRDefault="002874DB"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Since Rousseff’s government kept the</w:t>
      </w:r>
      <w:r w:rsidR="009E78C7" w:rsidRPr="008210C1">
        <w:rPr>
          <w:rFonts w:ascii="Times New Roman" w:hAnsi="Times New Roman" w:cs="Times New Roman"/>
          <w:sz w:val="24"/>
          <w:szCs w:val="24"/>
          <w:lang w:val="en-US"/>
        </w:rPr>
        <w:t xml:space="preserve"> credit,</w:t>
      </w:r>
      <w:r w:rsidR="0074091D" w:rsidRPr="008210C1">
        <w:rPr>
          <w:rFonts w:ascii="Times New Roman" w:hAnsi="Times New Roman" w:cs="Times New Roman"/>
          <w:sz w:val="24"/>
          <w:szCs w:val="24"/>
          <w:lang w:val="en-US"/>
        </w:rPr>
        <w:t xml:space="preserve"> </w:t>
      </w:r>
      <w:r w:rsidRPr="008210C1">
        <w:rPr>
          <w:rFonts w:ascii="Times New Roman" w:eastAsia="Times New Roman" w:hAnsi="Times New Roman" w:cs="Times New Roman"/>
          <w:sz w:val="24"/>
          <w:szCs w:val="24"/>
          <w:lang w:val="en-US" w:eastAsia="pt-BR"/>
        </w:rPr>
        <w:t>social and wage policies</w:t>
      </w:r>
      <w:r w:rsidR="00DF0B9B" w:rsidRPr="008210C1">
        <w:rPr>
          <w:rFonts w:ascii="Times New Roman" w:eastAsia="Times New Roman" w:hAnsi="Times New Roman" w:cs="Times New Roman"/>
          <w:sz w:val="24"/>
          <w:szCs w:val="24"/>
          <w:lang w:val="en-US" w:eastAsia="pt-BR"/>
        </w:rPr>
        <w:t xml:space="preserve"> introduced by</w:t>
      </w:r>
      <w:r w:rsidRPr="008210C1">
        <w:rPr>
          <w:rFonts w:ascii="Times New Roman" w:eastAsia="Times New Roman" w:hAnsi="Times New Roman" w:cs="Times New Roman"/>
          <w:sz w:val="24"/>
          <w:szCs w:val="24"/>
          <w:lang w:val="en-US" w:eastAsia="pt-BR"/>
        </w:rPr>
        <w:t xml:space="preserve"> Lula da Silva, </w:t>
      </w:r>
      <w:r w:rsidR="00E96022" w:rsidRPr="008210C1">
        <w:rPr>
          <w:rFonts w:ascii="Times New Roman" w:eastAsia="Times New Roman" w:hAnsi="Times New Roman" w:cs="Times New Roman"/>
          <w:sz w:val="24"/>
          <w:szCs w:val="24"/>
          <w:lang w:val="en-US" w:eastAsia="pt-BR"/>
        </w:rPr>
        <w:t>her government had an incoherence</w:t>
      </w:r>
      <w:r w:rsidR="00EE31C3" w:rsidRPr="008210C1">
        <w:rPr>
          <w:rFonts w:ascii="Times New Roman" w:eastAsia="Times New Roman" w:hAnsi="Times New Roman" w:cs="Times New Roman"/>
          <w:sz w:val="24"/>
          <w:szCs w:val="24"/>
          <w:lang w:val="en-US" w:eastAsia="pt-BR"/>
        </w:rPr>
        <w:t>,</w:t>
      </w:r>
      <w:r w:rsidR="00E96022" w:rsidRPr="008210C1">
        <w:rPr>
          <w:rFonts w:ascii="Times New Roman" w:eastAsia="Times New Roman" w:hAnsi="Times New Roman" w:cs="Times New Roman"/>
          <w:sz w:val="24"/>
          <w:szCs w:val="24"/>
          <w:lang w:val="en-US" w:eastAsia="pt-BR"/>
        </w:rPr>
        <w:t xml:space="preserve"> that Lula da Silva had already had</w:t>
      </w:r>
      <w:r w:rsidR="00EE31C3" w:rsidRPr="008210C1">
        <w:rPr>
          <w:rFonts w:ascii="Times New Roman" w:eastAsia="Times New Roman" w:hAnsi="Times New Roman" w:cs="Times New Roman"/>
          <w:sz w:val="24"/>
          <w:szCs w:val="24"/>
          <w:lang w:val="en-US" w:eastAsia="pt-BR"/>
        </w:rPr>
        <w:t xml:space="preserve">, </w:t>
      </w:r>
      <w:r w:rsidR="00EE31C3" w:rsidRPr="008210C1">
        <w:rPr>
          <w:rFonts w:ascii="Times New Roman" w:hAnsi="Times New Roman" w:cs="Times New Roman"/>
          <w:sz w:val="24"/>
          <w:szCs w:val="24"/>
          <w:lang w:val="en-US"/>
        </w:rPr>
        <w:t xml:space="preserve">between the ERP and the socioeconomic-institutional reforms encompassing the policies of minimum wage real valorization, credit expansion and income transfers, which changed the consumption patterns in the country. These policies contradictorily enticed the elevation of the domestic consumption </w:t>
      </w:r>
      <w:r w:rsidR="00EE31C3" w:rsidRPr="008210C1">
        <w:rPr>
          <w:rFonts w:ascii="Times New Roman" w:hAnsi="Times New Roman" w:cs="Times New Roman"/>
          <w:sz w:val="24"/>
          <w:szCs w:val="24"/>
          <w:lang w:val="en-US"/>
        </w:rPr>
        <w:lastRenderedPageBreak/>
        <w:t xml:space="preserve">concomitantly with the reduction of the profit rate due to the </w:t>
      </w:r>
      <w:r w:rsidR="00AC3589" w:rsidRPr="008210C1">
        <w:rPr>
          <w:rFonts w:ascii="Times New Roman" w:hAnsi="Times New Roman" w:cs="Times New Roman"/>
          <w:sz w:val="24"/>
          <w:szCs w:val="24"/>
          <w:lang w:val="en-US"/>
        </w:rPr>
        <w:t xml:space="preserve">lower </w:t>
      </w:r>
      <w:r w:rsidR="00EE31C3" w:rsidRPr="008210C1">
        <w:rPr>
          <w:rFonts w:ascii="Times New Roman" w:hAnsi="Times New Roman" w:cs="Times New Roman"/>
          <w:sz w:val="24"/>
          <w:szCs w:val="24"/>
          <w:lang w:val="en-US"/>
        </w:rPr>
        <w:t>RER and the real wage appreciation higher than the productivity gains.</w:t>
      </w:r>
    </w:p>
    <w:p w:rsidR="002874DB" w:rsidRPr="008210C1" w:rsidRDefault="008311FB"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T</w:t>
      </w:r>
      <w:r w:rsidR="00EE46F3" w:rsidRPr="008210C1">
        <w:rPr>
          <w:rFonts w:ascii="Times New Roman" w:hAnsi="Times New Roman" w:cs="Times New Roman"/>
          <w:sz w:val="24"/>
          <w:szCs w:val="24"/>
          <w:lang w:val="en-US"/>
        </w:rPr>
        <w:t>he currency appreciation increases real wages in the short run, in ac</w:t>
      </w:r>
      <w:r w:rsidR="0052182A" w:rsidRPr="008210C1">
        <w:rPr>
          <w:rFonts w:ascii="Times New Roman" w:hAnsi="Times New Roman" w:cs="Times New Roman"/>
          <w:sz w:val="24"/>
          <w:szCs w:val="24"/>
          <w:lang w:val="en-US"/>
        </w:rPr>
        <w:t>cordance with the</w:t>
      </w:r>
      <w:r w:rsidR="00014621" w:rsidRPr="008210C1">
        <w:rPr>
          <w:rFonts w:ascii="Times New Roman" w:hAnsi="Times New Roman" w:cs="Times New Roman"/>
          <w:sz w:val="24"/>
          <w:szCs w:val="24"/>
          <w:lang w:val="en-US"/>
        </w:rPr>
        <w:t xml:space="preserve"> intentions of</w:t>
      </w:r>
      <w:r w:rsidR="0052182A" w:rsidRPr="008210C1">
        <w:rPr>
          <w:rFonts w:ascii="Times New Roman" w:hAnsi="Times New Roman" w:cs="Times New Roman"/>
          <w:sz w:val="24"/>
          <w:szCs w:val="24"/>
          <w:lang w:val="en-US"/>
        </w:rPr>
        <w:t xml:space="preserve"> social policy. However,</w:t>
      </w:r>
      <w:r w:rsidR="00EE46F3" w:rsidRPr="008210C1">
        <w:rPr>
          <w:rFonts w:ascii="Times New Roman" w:hAnsi="Times New Roman" w:cs="Times New Roman"/>
          <w:sz w:val="24"/>
          <w:szCs w:val="24"/>
          <w:lang w:val="en-US"/>
        </w:rPr>
        <w:t xml:space="preserve"> it smashe</w:t>
      </w:r>
      <w:r w:rsidR="00072F2C" w:rsidRPr="008210C1">
        <w:rPr>
          <w:rFonts w:ascii="Times New Roman" w:hAnsi="Times New Roman" w:cs="Times New Roman"/>
          <w:sz w:val="24"/>
          <w:szCs w:val="24"/>
          <w:lang w:val="en-US"/>
        </w:rPr>
        <w:t>s</w:t>
      </w:r>
      <w:r w:rsidR="00EE46F3" w:rsidRPr="008210C1">
        <w:rPr>
          <w:rFonts w:ascii="Times New Roman" w:hAnsi="Times New Roman" w:cs="Times New Roman"/>
          <w:sz w:val="24"/>
          <w:szCs w:val="24"/>
          <w:lang w:val="en-US"/>
        </w:rPr>
        <w:t xml:space="preserve"> the profit rates in many </w:t>
      </w:r>
      <w:r w:rsidR="004B425D" w:rsidRPr="008210C1">
        <w:rPr>
          <w:rFonts w:ascii="Times New Roman" w:hAnsi="Times New Roman" w:cs="Times New Roman"/>
          <w:sz w:val="24"/>
          <w:szCs w:val="24"/>
          <w:lang w:val="en-US"/>
        </w:rPr>
        <w:t>industrial</w:t>
      </w:r>
      <w:r w:rsidR="00072F2C" w:rsidRPr="008210C1">
        <w:rPr>
          <w:rFonts w:ascii="Times New Roman" w:hAnsi="Times New Roman" w:cs="Times New Roman"/>
          <w:sz w:val="24"/>
          <w:szCs w:val="24"/>
          <w:lang w:val="en-US"/>
        </w:rPr>
        <w:t xml:space="preserve"> </w:t>
      </w:r>
      <w:r w:rsidR="00EE46F3" w:rsidRPr="008210C1">
        <w:rPr>
          <w:rFonts w:ascii="Times New Roman" w:hAnsi="Times New Roman" w:cs="Times New Roman"/>
          <w:sz w:val="24"/>
          <w:szCs w:val="24"/>
          <w:lang w:val="en-US"/>
        </w:rPr>
        <w:t>sectors, discouraging investment</w:t>
      </w:r>
      <w:r w:rsidRPr="008210C1">
        <w:rPr>
          <w:rFonts w:ascii="Times New Roman" w:hAnsi="Times New Roman" w:cs="Times New Roman"/>
          <w:sz w:val="24"/>
          <w:szCs w:val="24"/>
          <w:lang w:val="en-US"/>
        </w:rPr>
        <w:t>s which are</w:t>
      </w:r>
      <w:r w:rsidR="00EE46F3" w:rsidRPr="008210C1">
        <w:rPr>
          <w:rFonts w:ascii="Times New Roman" w:hAnsi="Times New Roman" w:cs="Times New Roman"/>
          <w:sz w:val="24"/>
          <w:szCs w:val="24"/>
          <w:lang w:val="en-US"/>
        </w:rPr>
        <w:t xml:space="preserve"> crucial to</w:t>
      </w:r>
      <w:r w:rsidRPr="008210C1">
        <w:rPr>
          <w:rFonts w:ascii="Times New Roman" w:hAnsi="Times New Roman" w:cs="Times New Roman"/>
          <w:sz w:val="24"/>
          <w:szCs w:val="24"/>
          <w:lang w:val="en-US"/>
        </w:rPr>
        <w:t xml:space="preserve"> expand the</w:t>
      </w:r>
      <w:r w:rsidR="00EE46F3" w:rsidRPr="008210C1">
        <w:rPr>
          <w:rFonts w:ascii="Times New Roman" w:hAnsi="Times New Roman" w:cs="Times New Roman"/>
          <w:sz w:val="24"/>
          <w:szCs w:val="24"/>
          <w:lang w:val="en-US"/>
        </w:rPr>
        <w:t xml:space="preserve"> supply</w:t>
      </w:r>
      <w:r w:rsidRPr="008210C1">
        <w:rPr>
          <w:rFonts w:ascii="Times New Roman" w:hAnsi="Times New Roman" w:cs="Times New Roman"/>
          <w:sz w:val="24"/>
          <w:szCs w:val="24"/>
          <w:lang w:val="en-US"/>
        </w:rPr>
        <w:t xml:space="preserve"> capacity</w:t>
      </w:r>
      <w:r w:rsidR="00EE46F3" w:rsidRPr="008210C1">
        <w:rPr>
          <w:rFonts w:ascii="Times New Roman" w:hAnsi="Times New Roman" w:cs="Times New Roman"/>
          <w:sz w:val="24"/>
          <w:szCs w:val="24"/>
          <w:lang w:val="en-US"/>
        </w:rPr>
        <w:t>. So, in the medium</w:t>
      </w:r>
      <w:r w:rsidR="0094792C" w:rsidRPr="008210C1">
        <w:rPr>
          <w:rFonts w:ascii="Times New Roman" w:hAnsi="Times New Roman" w:cs="Times New Roman"/>
          <w:sz w:val="24"/>
          <w:szCs w:val="24"/>
          <w:lang w:val="en-US"/>
        </w:rPr>
        <w:t xml:space="preserve">- and </w:t>
      </w:r>
      <w:r w:rsidR="00417114" w:rsidRPr="008210C1">
        <w:rPr>
          <w:rFonts w:ascii="Times New Roman" w:hAnsi="Times New Roman" w:cs="Times New Roman"/>
          <w:sz w:val="24"/>
          <w:szCs w:val="24"/>
          <w:lang w:val="en-US"/>
        </w:rPr>
        <w:t>long</w:t>
      </w:r>
      <w:r w:rsidR="0094792C" w:rsidRPr="008210C1">
        <w:rPr>
          <w:rFonts w:ascii="Times New Roman" w:hAnsi="Times New Roman" w:cs="Times New Roman"/>
          <w:sz w:val="24"/>
          <w:szCs w:val="24"/>
          <w:lang w:val="en-US"/>
        </w:rPr>
        <w:t>-</w:t>
      </w:r>
      <w:r w:rsidR="00EE46F3" w:rsidRPr="008210C1">
        <w:rPr>
          <w:rFonts w:ascii="Times New Roman" w:hAnsi="Times New Roman" w:cs="Times New Roman"/>
          <w:sz w:val="24"/>
          <w:szCs w:val="24"/>
          <w:lang w:val="en-US"/>
        </w:rPr>
        <w:t>t</w:t>
      </w:r>
      <w:r w:rsidR="005E2C0D" w:rsidRPr="008210C1">
        <w:rPr>
          <w:rFonts w:ascii="Times New Roman" w:hAnsi="Times New Roman" w:cs="Times New Roman"/>
          <w:sz w:val="24"/>
          <w:szCs w:val="24"/>
          <w:lang w:val="en-US"/>
        </w:rPr>
        <w:t xml:space="preserve">erm, smaller </w:t>
      </w:r>
      <w:r w:rsidR="00C74A6B" w:rsidRPr="008210C1">
        <w:rPr>
          <w:rFonts w:ascii="Times New Roman" w:hAnsi="Times New Roman" w:cs="Times New Roman"/>
          <w:sz w:val="24"/>
          <w:szCs w:val="24"/>
          <w:lang w:val="en-US"/>
        </w:rPr>
        <w:t xml:space="preserve">supply </w:t>
      </w:r>
      <w:r w:rsidR="005E2C0D" w:rsidRPr="008210C1">
        <w:rPr>
          <w:rFonts w:ascii="Times New Roman" w:hAnsi="Times New Roman" w:cs="Times New Roman"/>
          <w:sz w:val="24"/>
          <w:szCs w:val="24"/>
          <w:lang w:val="en-US"/>
        </w:rPr>
        <w:t xml:space="preserve">levels </w:t>
      </w:r>
      <w:r w:rsidR="00EE46F3" w:rsidRPr="008210C1">
        <w:rPr>
          <w:rFonts w:ascii="Times New Roman" w:hAnsi="Times New Roman" w:cs="Times New Roman"/>
          <w:sz w:val="24"/>
          <w:szCs w:val="24"/>
          <w:lang w:val="en-US"/>
        </w:rPr>
        <w:t>relate</w:t>
      </w:r>
      <w:r w:rsidR="00C74A6B" w:rsidRPr="008210C1">
        <w:rPr>
          <w:rFonts w:ascii="Times New Roman" w:hAnsi="Times New Roman" w:cs="Times New Roman"/>
          <w:sz w:val="24"/>
          <w:szCs w:val="24"/>
          <w:lang w:val="en-US"/>
        </w:rPr>
        <w:t xml:space="preserve"> themselves</w:t>
      </w:r>
      <w:r w:rsidR="00EE46F3" w:rsidRPr="008210C1">
        <w:rPr>
          <w:rFonts w:ascii="Times New Roman" w:hAnsi="Times New Roman" w:cs="Times New Roman"/>
          <w:sz w:val="24"/>
          <w:szCs w:val="24"/>
          <w:lang w:val="en-US"/>
        </w:rPr>
        <w:t xml:space="preserve"> to smaller </w:t>
      </w:r>
      <w:r w:rsidR="0094792C" w:rsidRPr="008210C1">
        <w:rPr>
          <w:rFonts w:ascii="Times New Roman" w:hAnsi="Times New Roman" w:cs="Times New Roman"/>
          <w:sz w:val="24"/>
          <w:szCs w:val="24"/>
          <w:lang w:val="en-US"/>
        </w:rPr>
        <w:t xml:space="preserve">employment </w:t>
      </w:r>
      <w:r w:rsidR="00EE46F3" w:rsidRPr="008210C1">
        <w:rPr>
          <w:rFonts w:ascii="Times New Roman" w:hAnsi="Times New Roman" w:cs="Times New Roman"/>
          <w:sz w:val="24"/>
          <w:szCs w:val="24"/>
          <w:lang w:val="en-US"/>
        </w:rPr>
        <w:t>levels. Moreover, since the productivity gains in the industry are bigger than in the other sectors due to</w:t>
      </w:r>
      <w:r w:rsidR="0094792C" w:rsidRPr="008210C1">
        <w:rPr>
          <w:rFonts w:ascii="Times New Roman" w:hAnsi="Times New Roman" w:cs="Times New Roman"/>
          <w:sz w:val="24"/>
          <w:szCs w:val="24"/>
          <w:lang w:val="en-US"/>
        </w:rPr>
        <w:t xml:space="preserve"> both</w:t>
      </w:r>
      <w:r w:rsidR="00EE46F3" w:rsidRPr="008210C1">
        <w:rPr>
          <w:rFonts w:ascii="Times New Roman" w:hAnsi="Times New Roman" w:cs="Times New Roman"/>
          <w:sz w:val="24"/>
          <w:szCs w:val="24"/>
          <w:lang w:val="en-US"/>
        </w:rPr>
        <w:t xml:space="preserve"> static and dynamic scales economies and </w:t>
      </w:r>
      <w:r w:rsidR="0094792C" w:rsidRPr="008210C1">
        <w:rPr>
          <w:rFonts w:ascii="Times New Roman" w:hAnsi="Times New Roman" w:cs="Times New Roman"/>
          <w:sz w:val="24"/>
          <w:szCs w:val="24"/>
          <w:lang w:val="en-US"/>
        </w:rPr>
        <w:t xml:space="preserve">industry-related </w:t>
      </w:r>
      <w:r w:rsidR="00EE46F3" w:rsidRPr="008210C1">
        <w:rPr>
          <w:rFonts w:ascii="Times New Roman" w:hAnsi="Times New Roman" w:cs="Times New Roman"/>
          <w:sz w:val="24"/>
          <w:szCs w:val="24"/>
          <w:lang w:val="en-US"/>
        </w:rPr>
        <w:t>technological progress</w:t>
      </w:r>
      <w:r w:rsidR="00417114" w:rsidRPr="008210C1">
        <w:rPr>
          <w:rFonts w:ascii="Times New Roman" w:hAnsi="Times New Roman" w:cs="Times New Roman"/>
          <w:sz w:val="24"/>
          <w:szCs w:val="24"/>
          <w:lang w:val="en-US"/>
        </w:rPr>
        <w:t xml:space="preserve"> </w:t>
      </w:r>
      <w:r w:rsidR="00EE46F3" w:rsidRPr="008210C1">
        <w:rPr>
          <w:rFonts w:ascii="Times New Roman" w:hAnsi="Times New Roman" w:cs="Times New Roman"/>
          <w:sz w:val="24"/>
          <w:szCs w:val="24"/>
          <w:lang w:val="en-US"/>
        </w:rPr>
        <w:t>(</w:t>
      </w:r>
      <w:proofErr w:type="spellStart"/>
      <w:r w:rsidR="00EE46F3" w:rsidRPr="008210C1">
        <w:rPr>
          <w:rFonts w:ascii="Times New Roman" w:hAnsi="Times New Roman" w:cs="Times New Roman"/>
          <w:sz w:val="24"/>
          <w:szCs w:val="24"/>
          <w:lang w:val="en-US"/>
        </w:rPr>
        <w:t>Bresser</w:t>
      </w:r>
      <w:proofErr w:type="spellEnd"/>
      <w:r w:rsidR="00EE46F3" w:rsidRPr="008210C1">
        <w:rPr>
          <w:rFonts w:ascii="Times New Roman" w:hAnsi="Times New Roman" w:cs="Times New Roman"/>
          <w:sz w:val="24"/>
          <w:szCs w:val="24"/>
          <w:lang w:val="en-US"/>
        </w:rPr>
        <w:t>-Pereira et al, 2015), smashe</w:t>
      </w:r>
      <w:r w:rsidR="0094792C" w:rsidRPr="008210C1">
        <w:rPr>
          <w:rFonts w:ascii="Times New Roman" w:hAnsi="Times New Roman" w:cs="Times New Roman"/>
          <w:sz w:val="24"/>
          <w:szCs w:val="24"/>
          <w:lang w:val="en-US"/>
        </w:rPr>
        <w:t>d</w:t>
      </w:r>
      <w:r w:rsidR="00EE46F3" w:rsidRPr="008210C1">
        <w:rPr>
          <w:rFonts w:ascii="Times New Roman" w:hAnsi="Times New Roman" w:cs="Times New Roman"/>
          <w:sz w:val="24"/>
          <w:szCs w:val="24"/>
          <w:lang w:val="en-US"/>
        </w:rPr>
        <w:t xml:space="preserve"> industr</w:t>
      </w:r>
      <w:r w:rsidR="0094792C" w:rsidRPr="008210C1">
        <w:rPr>
          <w:rFonts w:ascii="Times New Roman" w:hAnsi="Times New Roman" w:cs="Times New Roman"/>
          <w:sz w:val="24"/>
          <w:szCs w:val="24"/>
          <w:lang w:val="en-US"/>
        </w:rPr>
        <w:t>ial</w:t>
      </w:r>
      <w:r w:rsidR="00EE46F3" w:rsidRPr="008210C1">
        <w:rPr>
          <w:rFonts w:ascii="Times New Roman" w:hAnsi="Times New Roman" w:cs="Times New Roman"/>
          <w:sz w:val="24"/>
          <w:szCs w:val="24"/>
          <w:lang w:val="en-US"/>
        </w:rPr>
        <w:t xml:space="preserve"> profit</w:t>
      </w:r>
      <w:r w:rsidR="00417114" w:rsidRPr="008210C1">
        <w:rPr>
          <w:rFonts w:ascii="Times New Roman" w:hAnsi="Times New Roman" w:cs="Times New Roman"/>
          <w:sz w:val="24"/>
          <w:szCs w:val="24"/>
          <w:lang w:val="en-US"/>
        </w:rPr>
        <w:t>s</w:t>
      </w:r>
      <w:r w:rsidR="00EE46F3" w:rsidRPr="008210C1">
        <w:rPr>
          <w:rFonts w:ascii="Times New Roman" w:hAnsi="Times New Roman" w:cs="Times New Roman"/>
          <w:sz w:val="24"/>
          <w:szCs w:val="24"/>
          <w:lang w:val="en-US"/>
        </w:rPr>
        <w:t xml:space="preserve"> lead to </w:t>
      </w:r>
      <w:r w:rsidR="00014621" w:rsidRPr="008210C1">
        <w:rPr>
          <w:rFonts w:ascii="Times New Roman" w:hAnsi="Times New Roman" w:cs="Times New Roman"/>
          <w:sz w:val="24"/>
          <w:szCs w:val="24"/>
          <w:lang w:val="en-US"/>
        </w:rPr>
        <w:t>lower</w:t>
      </w:r>
      <w:r w:rsidR="00EE46F3" w:rsidRPr="008210C1">
        <w:rPr>
          <w:rFonts w:ascii="Times New Roman" w:hAnsi="Times New Roman" w:cs="Times New Roman"/>
          <w:sz w:val="24"/>
          <w:szCs w:val="24"/>
          <w:lang w:val="en-US"/>
        </w:rPr>
        <w:t xml:space="preserve"> </w:t>
      </w:r>
      <w:r w:rsidR="0094792C" w:rsidRPr="008210C1">
        <w:rPr>
          <w:rFonts w:ascii="Times New Roman" w:hAnsi="Times New Roman" w:cs="Times New Roman"/>
          <w:sz w:val="24"/>
          <w:szCs w:val="24"/>
          <w:lang w:val="en-US"/>
        </w:rPr>
        <w:t>investment</w:t>
      </w:r>
      <w:r w:rsidR="00014621" w:rsidRPr="008210C1">
        <w:rPr>
          <w:rFonts w:ascii="Times New Roman" w:hAnsi="Times New Roman" w:cs="Times New Roman"/>
          <w:sz w:val="24"/>
          <w:szCs w:val="24"/>
          <w:lang w:val="en-US"/>
        </w:rPr>
        <w:t>s</w:t>
      </w:r>
      <w:r w:rsidR="0094792C" w:rsidRPr="008210C1">
        <w:rPr>
          <w:rFonts w:ascii="Times New Roman" w:hAnsi="Times New Roman" w:cs="Times New Roman"/>
          <w:sz w:val="24"/>
          <w:szCs w:val="24"/>
          <w:lang w:val="en-US"/>
        </w:rPr>
        <w:t xml:space="preserve"> </w:t>
      </w:r>
      <w:r w:rsidR="00EE46F3" w:rsidRPr="008210C1">
        <w:rPr>
          <w:rFonts w:ascii="Times New Roman" w:hAnsi="Times New Roman" w:cs="Times New Roman"/>
          <w:sz w:val="24"/>
          <w:szCs w:val="24"/>
          <w:lang w:val="en-US"/>
        </w:rPr>
        <w:t xml:space="preserve">and </w:t>
      </w:r>
      <w:r w:rsidR="0094792C" w:rsidRPr="008210C1">
        <w:rPr>
          <w:rFonts w:ascii="Times New Roman" w:hAnsi="Times New Roman" w:cs="Times New Roman"/>
          <w:sz w:val="24"/>
          <w:szCs w:val="24"/>
          <w:lang w:val="en-US"/>
        </w:rPr>
        <w:t xml:space="preserve">productivity </w:t>
      </w:r>
      <w:r w:rsidR="00EE46F3" w:rsidRPr="008210C1">
        <w:rPr>
          <w:rFonts w:ascii="Times New Roman" w:hAnsi="Times New Roman" w:cs="Times New Roman"/>
          <w:sz w:val="24"/>
          <w:szCs w:val="24"/>
          <w:lang w:val="en-US"/>
        </w:rPr>
        <w:t xml:space="preserve">gains </w:t>
      </w:r>
      <w:r w:rsidR="005E2C0D" w:rsidRPr="008210C1">
        <w:rPr>
          <w:rFonts w:ascii="Times New Roman" w:hAnsi="Times New Roman" w:cs="Times New Roman"/>
          <w:sz w:val="24"/>
          <w:szCs w:val="24"/>
          <w:lang w:val="en-US"/>
        </w:rPr>
        <w:t>in the whole economy</w:t>
      </w:r>
      <w:r w:rsidR="00EE46F3" w:rsidRPr="008210C1">
        <w:rPr>
          <w:rFonts w:ascii="Times New Roman" w:hAnsi="Times New Roman" w:cs="Times New Roman"/>
          <w:sz w:val="24"/>
          <w:szCs w:val="24"/>
          <w:lang w:val="en-US"/>
        </w:rPr>
        <w:t xml:space="preserve"> as well as </w:t>
      </w:r>
      <w:r w:rsidR="0094792C" w:rsidRPr="008210C1">
        <w:rPr>
          <w:rFonts w:ascii="Times New Roman" w:hAnsi="Times New Roman" w:cs="Times New Roman"/>
          <w:sz w:val="24"/>
          <w:szCs w:val="24"/>
          <w:lang w:val="en-US"/>
        </w:rPr>
        <w:t xml:space="preserve">to </w:t>
      </w:r>
      <w:r w:rsidR="00EE46F3" w:rsidRPr="008210C1">
        <w:rPr>
          <w:rFonts w:ascii="Times New Roman" w:hAnsi="Times New Roman" w:cs="Times New Roman"/>
          <w:sz w:val="24"/>
          <w:szCs w:val="24"/>
          <w:lang w:val="en-US"/>
        </w:rPr>
        <w:t>smaller increases in real wages.</w:t>
      </w:r>
    </w:p>
    <w:p w:rsidR="004F66F0" w:rsidRPr="008210C1" w:rsidRDefault="004F66F0"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Besides, it is worth noticing that</w:t>
      </w:r>
      <w:r w:rsidR="002874E0" w:rsidRPr="008210C1">
        <w:rPr>
          <w:rFonts w:ascii="Times New Roman" w:hAnsi="Times New Roman" w:cs="Times New Roman"/>
          <w:sz w:val="24"/>
          <w:szCs w:val="24"/>
          <w:lang w:val="en-US"/>
        </w:rPr>
        <w:t xml:space="preserve"> </w:t>
      </w:r>
      <w:r w:rsidR="00AD1CAB" w:rsidRPr="008210C1">
        <w:rPr>
          <w:rFonts w:ascii="Times New Roman" w:hAnsi="Times New Roman" w:cs="Times New Roman"/>
          <w:sz w:val="24"/>
          <w:szCs w:val="24"/>
          <w:lang w:val="en-US"/>
        </w:rPr>
        <w:t>there</w:t>
      </w:r>
      <w:r w:rsidR="00CC3A22" w:rsidRPr="008210C1">
        <w:rPr>
          <w:rFonts w:ascii="Times New Roman" w:hAnsi="Times New Roman" w:cs="Times New Roman"/>
          <w:sz w:val="24"/>
          <w:szCs w:val="24"/>
          <w:lang w:val="en-US"/>
        </w:rPr>
        <w:t xml:space="preserve"> </w:t>
      </w:r>
      <w:r w:rsidR="00AD1CAB" w:rsidRPr="008210C1">
        <w:rPr>
          <w:rFonts w:ascii="Times New Roman" w:hAnsi="Times New Roman" w:cs="Times New Roman"/>
          <w:sz w:val="24"/>
          <w:szCs w:val="24"/>
          <w:lang w:val="en-US"/>
        </w:rPr>
        <w:t xml:space="preserve">was </w:t>
      </w:r>
      <w:r w:rsidR="002874E0" w:rsidRPr="008210C1">
        <w:rPr>
          <w:rFonts w:ascii="Times New Roman" w:hAnsi="Times New Roman" w:cs="Times New Roman"/>
          <w:sz w:val="24"/>
          <w:szCs w:val="24"/>
          <w:lang w:val="en-US"/>
        </w:rPr>
        <w:t>an</w:t>
      </w:r>
      <w:r w:rsidRPr="008210C1">
        <w:rPr>
          <w:rFonts w:ascii="Times New Roman" w:hAnsi="Times New Roman" w:cs="Times New Roman"/>
          <w:sz w:val="24"/>
          <w:szCs w:val="24"/>
          <w:lang w:val="en-US"/>
        </w:rPr>
        <w:t xml:space="preserve"> </w:t>
      </w:r>
      <w:r w:rsidR="002874E0" w:rsidRPr="008210C1">
        <w:rPr>
          <w:rFonts w:ascii="Times New Roman" w:hAnsi="Times New Roman" w:cs="Times New Roman"/>
          <w:sz w:val="24"/>
          <w:szCs w:val="24"/>
          <w:lang w:val="en-US"/>
        </w:rPr>
        <w:t xml:space="preserve">increase in </w:t>
      </w:r>
      <w:r w:rsidR="001C51DD" w:rsidRPr="008210C1">
        <w:rPr>
          <w:rFonts w:ascii="Times New Roman" w:hAnsi="Times New Roman" w:cs="Times New Roman"/>
          <w:sz w:val="24"/>
          <w:szCs w:val="24"/>
          <w:lang w:val="en-US"/>
        </w:rPr>
        <w:t>Brazil’s</w:t>
      </w:r>
      <w:r w:rsidR="002874E0" w:rsidRPr="008210C1">
        <w:rPr>
          <w:rFonts w:ascii="Times New Roman" w:hAnsi="Times New Roman" w:cs="Times New Roman"/>
          <w:sz w:val="24"/>
          <w:szCs w:val="24"/>
          <w:lang w:val="en-US"/>
        </w:rPr>
        <w:t xml:space="preserve"> average salary </w:t>
      </w:r>
      <w:r w:rsidR="00C74A6B" w:rsidRPr="008210C1">
        <w:rPr>
          <w:rFonts w:ascii="Times New Roman" w:hAnsi="Times New Roman" w:cs="Times New Roman"/>
          <w:sz w:val="24"/>
          <w:szCs w:val="24"/>
          <w:lang w:val="en-US"/>
        </w:rPr>
        <w:t xml:space="preserve">accompanying </w:t>
      </w:r>
      <w:r w:rsidRPr="008210C1">
        <w:rPr>
          <w:rFonts w:ascii="Times New Roman" w:hAnsi="Times New Roman" w:cs="Times New Roman"/>
          <w:sz w:val="24"/>
          <w:szCs w:val="24"/>
          <w:lang w:val="en-US"/>
        </w:rPr>
        <w:t xml:space="preserve">the </w:t>
      </w:r>
      <w:r w:rsidR="003161C6" w:rsidRPr="008210C1">
        <w:rPr>
          <w:rFonts w:ascii="Times New Roman" w:hAnsi="Times New Roman" w:cs="Times New Roman"/>
          <w:sz w:val="24"/>
          <w:szCs w:val="24"/>
          <w:lang w:val="en-US"/>
        </w:rPr>
        <w:t xml:space="preserve">minimum wage </w:t>
      </w:r>
      <w:r w:rsidRPr="008210C1">
        <w:rPr>
          <w:rFonts w:ascii="Times New Roman" w:hAnsi="Times New Roman" w:cs="Times New Roman"/>
          <w:sz w:val="24"/>
          <w:szCs w:val="24"/>
          <w:lang w:val="en-US"/>
        </w:rPr>
        <w:t xml:space="preserve">real valorization. Thereby, along with </w:t>
      </w:r>
      <w:r w:rsidR="001B66BB" w:rsidRPr="008210C1">
        <w:rPr>
          <w:rFonts w:ascii="Times New Roman" w:hAnsi="Times New Roman" w:cs="Times New Roman"/>
          <w:sz w:val="24"/>
          <w:szCs w:val="24"/>
          <w:lang w:val="en-US"/>
        </w:rPr>
        <w:t xml:space="preserve">a </w:t>
      </w:r>
      <w:r w:rsidRPr="008210C1">
        <w:rPr>
          <w:rFonts w:ascii="Times New Roman" w:hAnsi="Times New Roman" w:cs="Times New Roman"/>
          <w:sz w:val="24"/>
          <w:szCs w:val="24"/>
          <w:lang w:val="en-US"/>
        </w:rPr>
        <w:t xml:space="preserve">better </w:t>
      </w:r>
      <w:r w:rsidR="0004646D" w:rsidRPr="008210C1">
        <w:rPr>
          <w:rFonts w:ascii="Times New Roman" w:hAnsi="Times New Roman" w:cs="Times New Roman"/>
          <w:sz w:val="24"/>
          <w:szCs w:val="24"/>
          <w:lang w:val="en-US"/>
        </w:rPr>
        <w:t xml:space="preserve">income </w:t>
      </w:r>
      <w:r w:rsidR="00593BAF" w:rsidRPr="008210C1">
        <w:rPr>
          <w:rFonts w:ascii="Times New Roman" w:hAnsi="Times New Roman" w:cs="Times New Roman"/>
          <w:sz w:val="24"/>
          <w:szCs w:val="24"/>
          <w:lang w:val="en-US"/>
        </w:rPr>
        <w:t>share</w:t>
      </w:r>
      <w:r w:rsidRPr="008210C1">
        <w:rPr>
          <w:rFonts w:ascii="Times New Roman" w:hAnsi="Times New Roman" w:cs="Times New Roman"/>
          <w:sz w:val="24"/>
          <w:szCs w:val="24"/>
          <w:lang w:val="en-US"/>
        </w:rPr>
        <w:t xml:space="preserve">, a greater demand for </w:t>
      </w:r>
      <w:r w:rsidR="00312AFA" w:rsidRPr="008210C1">
        <w:rPr>
          <w:rFonts w:ascii="Times New Roman" w:hAnsi="Times New Roman" w:cs="Times New Roman"/>
          <w:sz w:val="24"/>
          <w:szCs w:val="24"/>
          <w:lang w:val="en-US"/>
        </w:rPr>
        <w:t xml:space="preserve">labor-intensive </w:t>
      </w:r>
      <w:r w:rsidRPr="008210C1">
        <w:rPr>
          <w:rFonts w:ascii="Times New Roman" w:hAnsi="Times New Roman" w:cs="Times New Roman"/>
          <w:sz w:val="24"/>
          <w:szCs w:val="24"/>
          <w:lang w:val="en-US"/>
        </w:rPr>
        <w:t>services</w:t>
      </w:r>
      <w:r w:rsidR="00AD1CAB" w:rsidRPr="008210C1">
        <w:rPr>
          <w:rFonts w:ascii="Times New Roman" w:hAnsi="Times New Roman" w:cs="Times New Roman"/>
          <w:sz w:val="24"/>
          <w:szCs w:val="24"/>
          <w:lang w:val="en-US"/>
        </w:rPr>
        <w:t xml:space="preserve"> emerged</w:t>
      </w:r>
      <w:r w:rsidRPr="008210C1">
        <w:rPr>
          <w:rFonts w:ascii="Times New Roman" w:hAnsi="Times New Roman" w:cs="Times New Roman"/>
          <w:sz w:val="24"/>
          <w:szCs w:val="24"/>
          <w:lang w:val="en-US"/>
        </w:rPr>
        <w:t xml:space="preserve">. As Brazil </w:t>
      </w:r>
      <w:r w:rsidR="00200161" w:rsidRPr="008210C1">
        <w:rPr>
          <w:rFonts w:ascii="Times New Roman" w:hAnsi="Times New Roman" w:cs="Times New Roman"/>
          <w:sz w:val="24"/>
          <w:szCs w:val="24"/>
          <w:lang w:val="en-US"/>
        </w:rPr>
        <w:t>went</w:t>
      </w:r>
      <w:r w:rsidRPr="008210C1">
        <w:rPr>
          <w:rFonts w:ascii="Times New Roman" w:hAnsi="Times New Roman" w:cs="Times New Roman"/>
          <w:sz w:val="24"/>
          <w:szCs w:val="24"/>
          <w:lang w:val="en-US"/>
        </w:rPr>
        <w:t xml:space="preserve"> through a demographic transition in which the economic active population stagnated, </w:t>
      </w:r>
      <w:r w:rsidR="009A5A61" w:rsidRPr="008210C1">
        <w:rPr>
          <w:rFonts w:ascii="Times New Roman" w:hAnsi="Times New Roman" w:cs="Times New Roman"/>
          <w:sz w:val="24"/>
          <w:szCs w:val="24"/>
          <w:lang w:val="en-US"/>
        </w:rPr>
        <w:t xml:space="preserve">the larger demand for services </w:t>
      </w:r>
      <w:r w:rsidR="00775D26" w:rsidRPr="008210C1">
        <w:rPr>
          <w:rFonts w:ascii="Times New Roman" w:hAnsi="Times New Roman" w:cs="Times New Roman"/>
          <w:sz w:val="24"/>
          <w:szCs w:val="24"/>
          <w:lang w:val="en-US"/>
        </w:rPr>
        <w:t>start</w:t>
      </w:r>
      <w:r w:rsidR="00AD1CAB" w:rsidRPr="008210C1">
        <w:rPr>
          <w:rFonts w:ascii="Times New Roman" w:hAnsi="Times New Roman" w:cs="Times New Roman"/>
          <w:sz w:val="24"/>
          <w:szCs w:val="24"/>
          <w:lang w:val="en-US"/>
        </w:rPr>
        <w:t>ed</w:t>
      </w:r>
      <w:r w:rsidR="00775D26" w:rsidRPr="008210C1">
        <w:rPr>
          <w:rFonts w:ascii="Times New Roman" w:hAnsi="Times New Roman" w:cs="Times New Roman"/>
          <w:sz w:val="24"/>
          <w:szCs w:val="24"/>
          <w:lang w:val="en-US"/>
        </w:rPr>
        <w:t xml:space="preserve"> </w:t>
      </w:r>
      <w:r w:rsidR="00CC3A22" w:rsidRPr="008210C1">
        <w:rPr>
          <w:rFonts w:ascii="Times New Roman" w:hAnsi="Times New Roman" w:cs="Times New Roman"/>
          <w:sz w:val="24"/>
          <w:szCs w:val="24"/>
          <w:lang w:val="en-US"/>
        </w:rPr>
        <w:t>pressurizing</w:t>
      </w:r>
      <w:r w:rsidRPr="008210C1">
        <w:rPr>
          <w:rFonts w:ascii="Times New Roman" w:hAnsi="Times New Roman" w:cs="Times New Roman"/>
          <w:sz w:val="24"/>
          <w:szCs w:val="24"/>
          <w:lang w:val="en-US"/>
        </w:rPr>
        <w:t xml:space="preserve"> </w:t>
      </w:r>
      <w:r w:rsidR="00775D26" w:rsidRPr="008210C1">
        <w:rPr>
          <w:rFonts w:ascii="Times New Roman" w:hAnsi="Times New Roman" w:cs="Times New Roman"/>
          <w:sz w:val="24"/>
          <w:szCs w:val="24"/>
          <w:lang w:val="en-US"/>
        </w:rPr>
        <w:t xml:space="preserve">the </w:t>
      </w:r>
      <w:r w:rsidRPr="008210C1">
        <w:rPr>
          <w:rFonts w:ascii="Times New Roman" w:hAnsi="Times New Roman" w:cs="Times New Roman"/>
          <w:sz w:val="24"/>
          <w:szCs w:val="24"/>
          <w:lang w:val="en-US"/>
        </w:rPr>
        <w:t xml:space="preserve">labor market, culminating </w:t>
      </w:r>
      <w:r w:rsidR="00AD1CAB" w:rsidRPr="008210C1">
        <w:rPr>
          <w:rFonts w:ascii="Times New Roman" w:hAnsi="Times New Roman" w:cs="Times New Roman"/>
          <w:sz w:val="24"/>
          <w:szCs w:val="24"/>
          <w:lang w:val="en-US"/>
        </w:rPr>
        <w:t>t</w:t>
      </w:r>
      <w:r w:rsidRPr="008210C1">
        <w:rPr>
          <w:rFonts w:ascii="Times New Roman" w:hAnsi="Times New Roman" w:cs="Times New Roman"/>
          <w:sz w:val="24"/>
          <w:szCs w:val="24"/>
          <w:lang w:val="en-US"/>
        </w:rPr>
        <w:t xml:space="preserve">o </w:t>
      </w:r>
      <w:r w:rsidR="00593BAF" w:rsidRPr="008210C1">
        <w:rPr>
          <w:rFonts w:ascii="Times New Roman" w:hAnsi="Times New Roman" w:cs="Times New Roman"/>
          <w:sz w:val="24"/>
          <w:szCs w:val="24"/>
          <w:lang w:val="en-US"/>
        </w:rPr>
        <w:t xml:space="preserve">a </w:t>
      </w:r>
      <w:r w:rsidR="00AD1CAB" w:rsidRPr="008210C1">
        <w:rPr>
          <w:rFonts w:ascii="Times New Roman" w:hAnsi="Times New Roman" w:cs="Times New Roman"/>
          <w:sz w:val="24"/>
          <w:szCs w:val="24"/>
          <w:lang w:val="en-US"/>
        </w:rPr>
        <w:t>constant</w:t>
      </w:r>
      <w:r w:rsidR="00593BAF" w:rsidRPr="008210C1">
        <w:rPr>
          <w:rFonts w:ascii="Times New Roman" w:hAnsi="Times New Roman" w:cs="Times New Roman"/>
          <w:sz w:val="24"/>
          <w:szCs w:val="24"/>
          <w:lang w:val="en-US"/>
        </w:rPr>
        <w:t xml:space="preserve"> salary</w:t>
      </w:r>
      <w:r w:rsidR="00AD1CAB" w:rsidRPr="008210C1">
        <w:rPr>
          <w:rFonts w:ascii="Times New Roman" w:hAnsi="Times New Roman" w:cs="Times New Roman"/>
          <w:sz w:val="24"/>
          <w:szCs w:val="24"/>
          <w:lang w:val="en-US"/>
        </w:rPr>
        <w:t xml:space="preserve"> expansion</w:t>
      </w:r>
      <w:r w:rsidRPr="008210C1">
        <w:rPr>
          <w:rFonts w:ascii="Times New Roman" w:hAnsi="Times New Roman" w:cs="Times New Roman"/>
          <w:sz w:val="24"/>
          <w:szCs w:val="24"/>
          <w:lang w:val="en-US"/>
        </w:rPr>
        <w:t xml:space="preserve"> (</w:t>
      </w:r>
      <w:r w:rsidR="0066614B" w:rsidRPr="008210C1">
        <w:rPr>
          <w:rFonts w:ascii="Times New Roman" w:hAnsi="Times New Roman" w:cs="Times New Roman"/>
          <w:sz w:val="24"/>
          <w:szCs w:val="24"/>
          <w:lang w:val="en-US"/>
        </w:rPr>
        <w:t>Resende et al</w:t>
      </w:r>
      <w:r w:rsidR="00AD1CAB" w:rsidRPr="008210C1">
        <w:rPr>
          <w:rFonts w:ascii="Times New Roman" w:hAnsi="Times New Roman" w:cs="Times New Roman"/>
          <w:sz w:val="24"/>
          <w:szCs w:val="24"/>
          <w:lang w:val="en-US"/>
        </w:rPr>
        <w:t>.</w:t>
      </w:r>
      <w:r w:rsidR="0066614B" w:rsidRPr="008210C1">
        <w:rPr>
          <w:rFonts w:ascii="Times New Roman" w:hAnsi="Times New Roman" w:cs="Times New Roman"/>
          <w:sz w:val="24"/>
          <w:szCs w:val="24"/>
          <w:lang w:val="en-US"/>
        </w:rPr>
        <w:t>, 2013</w:t>
      </w:r>
      <w:r w:rsidRPr="008210C1">
        <w:rPr>
          <w:rFonts w:ascii="Times New Roman" w:hAnsi="Times New Roman" w:cs="Times New Roman"/>
          <w:sz w:val="24"/>
          <w:szCs w:val="24"/>
          <w:lang w:val="en-US"/>
        </w:rPr>
        <w:t xml:space="preserve">). </w:t>
      </w:r>
    </w:p>
    <w:p w:rsidR="004F66F0" w:rsidRPr="008210C1" w:rsidRDefault="004F66F0" w:rsidP="008210C1">
      <w:pPr>
        <w:spacing w:after="0" w:line="240" w:lineRule="auto"/>
        <w:ind w:firstLine="709"/>
        <w:contextualSpacing/>
        <w:jc w:val="both"/>
        <w:rPr>
          <w:rFonts w:ascii="Times New Roman" w:hAnsi="Times New Roman" w:cs="Times New Roman"/>
          <w:sz w:val="24"/>
          <w:szCs w:val="24"/>
          <w:lang w:val="en-GB"/>
        </w:rPr>
      </w:pPr>
      <w:r w:rsidRPr="008210C1">
        <w:rPr>
          <w:rFonts w:ascii="Times New Roman" w:hAnsi="Times New Roman" w:cs="Times New Roman"/>
          <w:sz w:val="24"/>
          <w:szCs w:val="24"/>
          <w:lang w:val="en-US"/>
        </w:rPr>
        <w:t>This contradictory signaling</w:t>
      </w:r>
      <w:r w:rsidR="00AA368A"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of economic policies </w:t>
      </w:r>
      <w:r w:rsidR="00EF0DCE" w:rsidRPr="008210C1">
        <w:rPr>
          <w:rFonts w:ascii="Times New Roman" w:hAnsi="Times New Roman" w:cs="Times New Roman"/>
          <w:sz w:val="24"/>
          <w:szCs w:val="24"/>
          <w:lang w:val="en-US"/>
        </w:rPr>
        <w:t xml:space="preserve">generated </w:t>
      </w:r>
      <w:r w:rsidRPr="008210C1">
        <w:rPr>
          <w:rFonts w:ascii="Times New Roman" w:hAnsi="Times New Roman" w:cs="Times New Roman"/>
          <w:sz w:val="24"/>
          <w:szCs w:val="24"/>
          <w:lang w:val="en-US"/>
        </w:rPr>
        <w:t>optim</w:t>
      </w:r>
      <w:r w:rsidR="00F97048" w:rsidRPr="008210C1">
        <w:rPr>
          <w:rFonts w:ascii="Times New Roman" w:hAnsi="Times New Roman" w:cs="Times New Roman"/>
          <w:sz w:val="24"/>
          <w:szCs w:val="24"/>
          <w:lang w:val="en-US"/>
        </w:rPr>
        <w:t xml:space="preserve">istic conventions, </w:t>
      </w:r>
      <w:r w:rsidRPr="008210C1">
        <w:rPr>
          <w:rFonts w:ascii="Times New Roman" w:hAnsi="Times New Roman" w:cs="Times New Roman"/>
          <w:sz w:val="24"/>
          <w:szCs w:val="24"/>
          <w:lang w:val="en-US"/>
        </w:rPr>
        <w:t xml:space="preserve">investment and productivity </w:t>
      </w:r>
      <w:r w:rsidR="006D2C78" w:rsidRPr="008210C1">
        <w:rPr>
          <w:rFonts w:ascii="Times New Roman" w:hAnsi="Times New Roman" w:cs="Times New Roman"/>
          <w:sz w:val="24"/>
          <w:szCs w:val="24"/>
          <w:lang w:val="en-US"/>
        </w:rPr>
        <w:t>only</w:t>
      </w:r>
      <w:r w:rsidRPr="008210C1">
        <w:rPr>
          <w:rFonts w:ascii="Times New Roman" w:hAnsi="Times New Roman" w:cs="Times New Roman"/>
          <w:sz w:val="24"/>
          <w:szCs w:val="24"/>
          <w:lang w:val="en-US"/>
        </w:rPr>
        <w:t xml:space="preserve"> in the sectors attached to primary commodities. The </w:t>
      </w:r>
      <w:r w:rsidR="00D93969" w:rsidRPr="008210C1">
        <w:rPr>
          <w:rFonts w:ascii="Times New Roman" w:hAnsi="Times New Roman" w:cs="Times New Roman"/>
          <w:sz w:val="24"/>
          <w:szCs w:val="24"/>
          <w:lang w:val="en-US"/>
        </w:rPr>
        <w:t>flat</w:t>
      </w:r>
      <w:r w:rsidRPr="008210C1">
        <w:rPr>
          <w:rFonts w:ascii="Times New Roman" w:hAnsi="Times New Roman" w:cs="Times New Roman"/>
          <w:sz w:val="24"/>
          <w:szCs w:val="24"/>
          <w:lang w:val="en-US"/>
        </w:rPr>
        <w:t xml:space="preserve"> </w:t>
      </w:r>
      <w:r w:rsidR="006D2C78" w:rsidRPr="008210C1">
        <w:rPr>
          <w:rFonts w:ascii="Times New Roman" w:hAnsi="Times New Roman" w:cs="Times New Roman"/>
          <w:sz w:val="24"/>
          <w:szCs w:val="24"/>
          <w:lang w:val="en-US"/>
        </w:rPr>
        <w:t xml:space="preserve">profit and investment </w:t>
      </w:r>
      <w:r w:rsidRPr="008210C1">
        <w:rPr>
          <w:rFonts w:ascii="Times New Roman" w:hAnsi="Times New Roman" w:cs="Times New Roman"/>
          <w:sz w:val="24"/>
          <w:szCs w:val="24"/>
          <w:lang w:val="en-US"/>
        </w:rPr>
        <w:t>rates</w:t>
      </w:r>
      <w:r w:rsidR="001838AF" w:rsidRPr="008210C1">
        <w:rPr>
          <w:rFonts w:ascii="Times New Roman" w:hAnsi="Times New Roman" w:cs="Times New Roman"/>
          <w:sz w:val="24"/>
          <w:szCs w:val="24"/>
          <w:lang w:val="en-US"/>
        </w:rPr>
        <w:t xml:space="preserve"> in the manufacturing industry</w:t>
      </w:r>
      <w:r w:rsidRPr="008210C1">
        <w:rPr>
          <w:rFonts w:ascii="Times New Roman" w:hAnsi="Times New Roman" w:cs="Times New Roman"/>
          <w:sz w:val="24"/>
          <w:szCs w:val="24"/>
          <w:lang w:val="en-US"/>
        </w:rPr>
        <w:t xml:space="preserve"> </w:t>
      </w:r>
      <w:r w:rsidR="006D2C78" w:rsidRPr="008210C1">
        <w:rPr>
          <w:rFonts w:ascii="Times New Roman" w:hAnsi="Times New Roman" w:cs="Times New Roman"/>
          <w:sz w:val="24"/>
          <w:szCs w:val="24"/>
          <w:lang w:val="en-US"/>
        </w:rPr>
        <w:t>did not trigger a</w:t>
      </w:r>
      <w:r w:rsidRPr="008210C1">
        <w:rPr>
          <w:rFonts w:ascii="Times New Roman" w:hAnsi="Times New Roman" w:cs="Times New Roman"/>
          <w:sz w:val="24"/>
          <w:szCs w:val="24"/>
          <w:lang w:val="en-US"/>
        </w:rPr>
        <w:t xml:space="preserve"> </w:t>
      </w:r>
      <w:r w:rsidR="006D2C78" w:rsidRPr="008210C1">
        <w:rPr>
          <w:rFonts w:ascii="Times New Roman" w:hAnsi="Times New Roman" w:cs="Times New Roman"/>
          <w:sz w:val="24"/>
          <w:szCs w:val="24"/>
          <w:lang w:val="en-US"/>
        </w:rPr>
        <w:t xml:space="preserve">production </w:t>
      </w:r>
      <w:r w:rsidRPr="008210C1">
        <w:rPr>
          <w:rFonts w:ascii="Times New Roman" w:hAnsi="Times New Roman" w:cs="Times New Roman"/>
          <w:sz w:val="24"/>
          <w:szCs w:val="24"/>
          <w:lang w:val="en-US"/>
        </w:rPr>
        <w:t xml:space="preserve">expansion to satisfy the </w:t>
      </w:r>
      <w:r w:rsidR="006D2C78" w:rsidRPr="008210C1">
        <w:rPr>
          <w:rFonts w:ascii="Times New Roman" w:hAnsi="Times New Roman" w:cs="Times New Roman"/>
          <w:sz w:val="24"/>
          <w:szCs w:val="24"/>
          <w:lang w:val="en-US"/>
        </w:rPr>
        <w:t>larger</w:t>
      </w:r>
      <w:r w:rsidRPr="008210C1">
        <w:rPr>
          <w:rFonts w:ascii="Times New Roman" w:hAnsi="Times New Roman" w:cs="Times New Roman"/>
          <w:sz w:val="24"/>
          <w:szCs w:val="24"/>
          <w:lang w:val="en-US"/>
        </w:rPr>
        <w:t xml:space="preserve"> domestic consumption</w:t>
      </w:r>
      <w:r w:rsidR="001838AF" w:rsidRPr="008210C1">
        <w:rPr>
          <w:rFonts w:ascii="Times New Roman" w:hAnsi="Times New Roman" w:cs="Times New Roman"/>
          <w:sz w:val="24"/>
          <w:szCs w:val="24"/>
          <w:lang w:val="en-US"/>
        </w:rPr>
        <w:t>, which</w:t>
      </w:r>
      <w:r w:rsidR="00C47344"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was met by imports and fulfilling empty </w:t>
      </w:r>
      <w:r w:rsidR="001838AF" w:rsidRPr="008210C1">
        <w:rPr>
          <w:rFonts w:ascii="Times New Roman" w:hAnsi="Times New Roman" w:cs="Times New Roman"/>
          <w:sz w:val="24"/>
          <w:szCs w:val="24"/>
          <w:lang w:val="en-US"/>
        </w:rPr>
        <w:t xml:space="preserve">productive </w:t>
      </w:r>
      <w:r w:rsidRPr="008210C1">
        <w:rPr>
          <w:rFonts w:ascii="Times New Roman" w:hAnsi="Times New Roman" w:cs="Times New Roman"/>
          <w:sz w:val="24"/>
          <w:szCs w:val="24"/>
          <w:lang w:val="en-US"/>
        </w:rPr>
        <w:t xml:space="preserve">capacity. Thus, the economy </w:t>
      </w:r>
      <w:r w:rsidR="00C47344" w:rsidRPr="008210C1">
        <w:rPr>
          <w:rFonts w:ascii="Times New Roman" w:hAnsi="Times New Roman" w:cs="Times New Roman"/>
          <w:sz w:val="24"/>
          <w:szCs w:val="24"/>
          <w:lang w:val="en-US"/>
        </w:rPr>
        <w:t>grew</w:t>
      </w:r>
      <w:r w:rsidRPr="008210C1">
        <w:rPr>
          <w:rFonts w:ascii="Times New Roman" w:hAnsi="Times New Roman" w:cs="Times New Roman"/>
          <w:sz w:val="24"/>
          <w:szCs w:val="24"/>
          <w:lang w:val="en-US"/>
        </w:rPr>
        <w:t xml:space="preserve"> while there was idle capacity, a living on borrowed time economic growth.</w:t>
      </w:r>
      <w:r w:rsidR="0074091D" w:rsidRPr="008210C1">
        <w:rPr>
          <w:rFonts w:ascii="Times New Roman" w:hAnsi="Times New Roman" w:cs="Times New Roman"/>
          <w:sz w:val="24"/>
          <w:szCs w:val="24"/>
          <w:lang w:val="en-US"/>
        </w:rPr>
        <w:t xml:space="preserve"> </w:t>
      </w:r>
      <w:r w:rsidR="001838AF" w:rsidRPr="008210C1">
        <w:rPr>
          <w:rFonts w:ascii="Times New Roman" w:hAnsi="Times New Roman" w:cs="Times New Roman"/>
          <w:sz w:val="24"/>
          <w:szCs w:val="24"/>
          <w:lang w:val="en-US"/>
        </w:rPr>
        <w:t>E</w:t>
      </w:r>
      <w:r w:rsidRPr="008210C1">
        <w:rPr>
          <w:rFonts w:ascii="Times New Roman" w:hAnsi="Times New Roman" w:cs="Times New Roman"/>
          <w:sz w:val="24"/>
          <w:szCs w:val="24"/>
          <w:lang w:val="en-US"/>
        </w:rPr>
        <w:t>ven with the progress of the primary exports, Brazil</w:t>
      </w:r>
      <w:r w:rsidR="001838AF" w:rsidRPr="008210C1">
        <w:rPr>
          <w:rFonts w:ascii="Times New Roman" w:hAnsi="Times New Roman" w:cs="Times New Roman"/>
          <w:sz w:val="24"/>
          <w:szCs w:val="24"/>
          <w:lang w:val="en-US"/>
        </w:rPr>
        <w:t>’s</w:t>
      </w:r>
      <w:r w:rsidRPr="008210C1">
        <w:rPr>
          <w:rFonts w:ascii="Times New Roman" w:hAnsi="Times New Roman" w:cs="Times New Roman"/>
          <w:sz w:val="24"/>
          <w:szCs w:val="24"/>
          <w:lang w:val="en-US"/>
        </w:rPr>
        <w:t xml:space="preserve"> </w:t>
      </w:r>
      <w:r w:rsidR="00F14E1D" w:rsidRPr="008210C1">
        <w:rPr>
          <w:rFonts w:ascii="Times New Roman" w:hAnsi="Times New Roman" w:cs="Times New Roman"/>
          <w:sz w:val="24"/>
          <w:szCs w:val="24"/>
          <w:lang w:val="en-US"/>
        </w:rPr>
        <w:t>current account</w:t>
      </w:r>
      <w:r w:rsidRPr="008210C1">
        <w:rPr>
          <w:rFonts w:ascii="Times New Roman" w:hAnsi="Times New Roman" w:cs="Times New Roman"/>
          <w:sz w:val="24"/>
          <w:szCs w:val="24"/>
          <w:lang w:val="en-US"/>
        </w:rPr>
        <w:t xml:space="preserve"> deteriorated</w:t>
      </w:r>
      <w:r w:rsidR="00D87CA9" w:rsidRPr="008210C1">
        <w:rPr>
          <w:rFonts w:ascii="Times New Roman" w:hAnsi="Times New Roman" w:cs="Times New Roman"/>
          <w:sz w:val="24"/>
          <w:szCs w:val="24"/>
          <w:lang w:val="en-US"/>
        </w:rPr>
        <w:t xml:space="preserve"> from</w:t>
      </w:r>
      <w:r w:rsidR="00F14E1D" w:rsidRPr="008210C1">
        <w:rPr>
          <w:rFonts w:ascii="Times New Roman" w:hAnsi="Times New Roman" w:cs="Times New Roman"/>
          <w:sz w:val="24"/>
          <w:szCs w:val="24"/>
          <w:lang w:val="en-US"/>
        </w:rPr>
        <w:t xml:space="preserve"> </w:t>
      </w:r>
      <w:r w:rsidR="001838AF" w:rsidRPr="008210C1">
        <w:rPr>
          <w:rFonts w:ascii="Times New Roman" w:hAnsi="Times New Roman" w:cs="Times New Roman"/>
          <w:sz w:val="24"/>
          <w:szCs w:val="24"/>
          <w:lang w:val="en-US"/>
        </w:rPr>
        <w:t xml:space="preserve">a 2011 deficit equal to </w:t>
      </w:r>
      <w:r w:rsidR="00F14E1D" w:rsidRPr="008210C1">
        <w:rPr>
          <w:rFonts w:ascii="Times New Roman" w:hAnsi="Times New Roman" w:cs="Times New Roman"/>
          <w:sz w:val="24"/>
          <w:szCs w:val="24"/>
          <w:lang w:val="en-US"/>
        </w:rPr>
        <w:t>2</w:t>
      </w:r>
      <w:r w:rsidR="001B66BB" w:rsidRPr="008210C1">
        <w:rPr>
          <w:rFonts w:ascii="Times New Roman" w:hAnsi="Times New Roman" w:cs="Times New Roman"/>
          <w:sz w:val="24"/>
          <w:szCs w:val="24"/>
          <w:lang w:val="en-US"/>
        </w:rPr>
        <w:t>.</w:t>
      </w:r>
      <w:r w:rsidR="00F14E1D" w:rsidRPr="008210C1">
        <w:rPr>
          <w:rFonts w:ascii="Times New Roman" w:hAnsi="Times New Roman" w:cs="Times New Roman"/>
          <w:sz w:val="24"/>
          <w:szCs w:val="24"/>
          <w:lang w:val="en-US"/>
        </w:rPr>
        <w:t>95% of the GDP to 4</w:t>
      </w:r>
      <w:r w:rsidR="001B66BB" w:rsidRPr="008210C1">
        <w:rPr>
          <w:rFonts w:ascii="Times New Roman" w:hAnsi="Times New Roman" w:cs="Times New Roman"/>
          <w:sz w:val="24"/>
          <w:szCs w:val="24"/>
          <w:lang w:val="en-US"/>
        </w:rPr>
        <w:t>.</w:t>
      </w:r>
      <w:r w:rsidR="00F14E1D" w:rsidRPr="008210C1">
        <w:rPr>
          <w:rFonts w:ascii="Times New Roman" w:hAnsi="Times New Roman" w:cs="Times New Roman"/>
          <w:sz w:val="24"/>
          <w:szCs w:val="24"/>
          <w:lang w:val="en-US"/>
        </w:rPr>
        <w:t>24% in 2014</w:t>
      </w:r>
      <w:r w:rsidR="0066614B" w:rsidRPr="008210C1">
        <w:rPr>
          <w:rFonts w:ascii="Times New Roman" w:hAnsi="Times New Roman" w:cs="Times New Roman"/>
          <w:sz w:val="24"/>
          <w:szCs w:val="24"/>
          <w:lang w:val="en-US"/>
        </w:rPr>
        <w:t xml:space="preserve"> (BCB, 2017)</w:t>
      </w:r>
      <w:r w:rsidR="00021CF9" w:rsidRPr="008210C1">
        <w:rPr>
          <w:rFonts w:ascii="Times New Roman" w:hAnsi="Times New Roman" w:cs="Times New Roman"/>
          <w:sz w:val="24"/>
          <w:szCs w:val="24"/>
          <w:lang w:val="en-US"/>
        </w:rPr>
        <w:t>.</w:t>
      </w:r>
      <w:r w:rsidR="00197E4E" w:rsidRPr="008210C1">
        <w:rPr>
          <w:rStyle w:val="Refdenotaderodap"/>
          <w:rFonts w:ascii="Times New Roman" w:hAnsi="Times New Roman" w:cs="Times New Roman"/>
          <w:sz w:val="24"/>
          <w:szCs w:val="24"/>
          <w:lang w:val="en-US"/>
        </w:rPr>
        <w:footnoteReference w:id="8"/>
      </w:r>
      <w:r w:rsidR="00AA368A" w:rsidRPr="008210C1">
        <w:rPr>
          <w:rFonts w:ascii="Times New Roman" w:hAnsi="Times New Roman" w:cs="Times New Roman"/>
          <w:sz w:val="24"/>
          <w:szCs w:val="24"/>
          <w:lang w:val="en-US"/>
        </w:rPr>
        <w:t xml:space="preserve"> </w:t>
      </w:r>
      <w:r w:rsidR="002D6DBF" w:rsidRPr="008210C1">
        <w:rPr>
          <w:rFonts w:ascii="Times New Roman" w:hAnsi="Times New Roman" w:cs="Times New Roman"/>
          <w:sz w:val="24"/>
          <w:szCs w:val="24"/>
          <w:lang w:val="en-US"/>
        </w:rPr>
        <w:t>T</w:t>
      </w:r>
      <w:r w:rsidR="002D6DBF" w:rsidRPr="008210C1">
        <w:rPr>
          <w:rFonts w:ascii="Times New Roman" w:hAnsi="Times New Roman" w:cs="Times New Roman"/>
          <w:sz w:val="24"/>
          <w:szCs w:val="24"/>
          <w:lang w:val="en-GB"/>
        </w:rPr>
        <w:t xml:space="preserve">his scenario </w:t>
      </w:r>
      <w:r w:rsidRPr="008210C1">
        <w:rPr>
          <w:rFonts w:ascii="Times New Roman" w:hAnsi="Times New Roman" w:cs="Times New Roman"/>
          <w:sz w:val="24"/>
          <w:szCs w:val="24"/>
          <w:lang w:val="en-GB"/>
        </w:rPr>
        <w:t xml:space="preserve">pinpointed future elevation of </w:t>
      </w:r>
      <w:r w:rsidR="002D6DBF" w:rsidRPr="008210C1">
        <w:rPr>
          <w:rFonts w:ascii="Times New Roman" w:hAnsi="Times New Roman" w:cs="Times New Roman"/>
          <w:sz w:val="24"/>
          <w:szCs w:val="24"/>
          <w:lang w:val="en-GB"/>
        </w:rPr>
        <w:t xml:space="preserve">the </w:t>
      </w:r>
      <w:r w:rsidRPr="008210C1">
        <w:rPr>
          <w:rFonts w:ascii="Times New Roman" w:hAnsi="Times New Roman" w:cs="Times New Roman"/>
          <w:sz w:val="24"/>
          <w:szCs w:val="24"/>
          <w:lang w:val="en-GB"/>
        </w:rPr>
        <w:t>external fra</w:t>
      </w:r>
      <w:r w:rsidR="00C665B3" w:rsidRPr="008210C1">
        <w:rPr>
          <w:rFonts w:ascii="Times New Roman" w:hAnsi="Times New Roman" w:cs="Times New Roman"/>
          <w:sz w:val="24"/>
          <w:szCs w:val="24"/>
          <w:lang w:val="en-GB"/>
        </w:rPr>
        <w:t xml:space="preserve">gility, </w:t>
      </w:r>
      <w:r w:rsidRPr="008210C1">
        <w:rPr>
          <w:rFonts w:ascii="Times New Roman" w:hAnsi="Times New Roman" w:cs="Times New Roman"/>
          <w:sz w:val="24"/>
          <w:szCs w:val="24"/>
          <w:lang w:val="en-GB"/>
        </w:rPr>
        <w:t>depriv</w:t>
      </w:r>
      <w:r w:rsidR="00C665B3" w:rsidRPr="008210C1">
        <w:rPr>
          <w:rFonts w:ascii="Times New Roman" w:hAnsi="Times New Roman" w:cs="Times New Roman"/>
          <w:sz w:val="24"/>
          <w:szCs w:val="24"/>
          <w:lang w:val="en-GB"/>
        </w:rPr>
        <w:t>ing</w:t>
      </w:r>
      <w:r w:rsidRPr="008210C1">
        <w:rPr>
          <w:rFonts w:ascii="Times New Roman" w:hAnsi="Times New Roman" w:cs="Times New Roman"/>
          <w:sz w:val="24"/>
          <w:szCs w:val="24"/>
          <w:lang w:val="en-GB"/>
        </w:rPr>
        <w:t xml:space="preserve"> investment because agents’ confidence declined as conventions </w:t>
      </w:r>
      <w:r w:rsidR="000858CD" w:rsidRPr="008210C1">
        <w:rPr>
          <w:rFonts w:ascii="Times New Roman" w:hAnsi="Times New Roman" w:cs="Times New Roman"/>
          <w:sz w:val="24"/>
          <w:szCs w:val="24"/>
          <w:lang w:val="en-GB"/>
        </w:rPr>
        <w:t>identified</w:t>
      </w:r>
      <w:r w:rsidRPr="008210C1">
        <w:rPr>
          <w:rFonts w:ascii="Times New Roman" w:hAnsi="Times New Roman" w:cs="Times New Roman"/>
          <w:sz w:val="24"/>
          <w:szCs w:val="24"/>
          <w:lang w:val="en-GB"/>
        </w:rPr>
        <w:t xml:space="preserve"> </w:t>
      </w:r>
      <w:r w:rsidR="00C665B3" w:rsidRPr="008210C1">
        <w:rPr>
          <w:rFonts w:ascii="Times New Roman" w:hAnsi="Times New Roman" w:cs="Times New Roman"/>
          <w:sz w:val="24"/>
          <w:szCs w:val="24"/>
          <w:lang w:val="en-GB"/>
        </w:rPr>
        <w:t xml:space="preserve">a deteriorated </w:t>
      </w:r>
      <w:r w:rsidR="000858CD" w:rsidRPr="008210C1">
        <w:rPr>
          <w:rFonts w:ascii="Times New Roman" w:hAnsi="Times New Roman" w:cs="Times New Roman"/>
          <w:sz w:val="24"/>
          <w:szCs w:val="24"/>
          <w:lang w:val="en-GB"/>
        </w:rPr>
        <w:t xml:space="preserve">future </w:t>
      </w:r>
      <w:r w:rsidRPr="008210C1">
        <w:rPr>
          <w:rFonts w:ascii="Times New Roman" w:hAnsi="Times New Roman" w:cs="Times New Roman"/>
          <w:sz w:val="24"/>
          <w:szCs w:val="24"/>
          <w:lang w:val="en-GB"/>
        </w:rPr>
        <w:t xml:space="preserve">external </w:t>
      </w:r>
      <w:r w:rsidR="00C665B3" w:rsidRPr="008210C1">
        <w:rPr>
          <w:rFonts w:ascii="Times New Roman" w:hAnsi="Times New Roman" w:cs="Times New Roman"/>
          <w:sz w:val="24"/>
          <w:szCs w:val="24"/>
          <w:lang w:val="en-GB"/>
        </w:rPr>
        <w:t>position</w:t>
      </w:r>
      <w:r w:rsidR="002D6DBF" w:rsidRPr="008210C1">
        <w:rPr>
          <w:rFonts w:ascii="Times New Roman" w:hAnsi="Times New Roman" w:cs="Times New Roman"/>
          <w:sz w:val="24"/>
          <w:szCs w:val="24"/>
          <w:lang w:val="en-GB"/>
        </w:rPr>
        <w:t xml:space="preserve"> of Brazil</w:t>
      </w:r>
      <w:r w:rsidRPr="008210C1">
        <w:rPr>
          <w:rFonts w:ascii="Times New Roman" w:hAnsi="Times New Roman" w:cs="Times New Roman"/>
          <w:sz w:val="24"/>
          <w:szCs w:val="24"/>
          <w:lang w:val="en-GB"/>
        </w:rPr>
        <w:t xml:space="preserve">. </w:t>
      </w:r>
    </w:p>
    <w:p w:rsidR="00427D2B" w:rsidRPr="008210C1" w:rsidRDefault="009D0401"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Nonetheless,</w:t>
      </w:r>
      <w:r w:rsidR="00425DC6" w:rsidRPr="008210C1">
        <w:rPr>
          <w:rFonts w:ascii="Times New Roman" w:hAnsi="Times New Roman" w:cs="Times New Roman"/>
          <w:sz w:val="24"/>
          <w:szCs w:val="24"/>
          <w:lang w:val="en-US"/>
        </w:rPr>
        <w:t xml:space="preserve"> from October 2010 on, the </w:t>
      </w:r>
      <w:r w:rsidR="00726AE7" w:rsidRPr="008210C1">
        <w:rPr>
          <w:rFonts w:ascii="Times New Roman" w:hAnsi="Times New Roman" w:cs="Times New Roman"/>
          <w:sz w:val="24"/>
          <w:szCs w:val="24"/>
          <w:lang w:val="en-US"/>
        </w:rPr>
        <w:t xml:space="preserve">government </w:t>
      </w:r>
      <w:r w:rsidR="00E27079" w:rsidRPr="008210C1">
        <w:rPr>
          <w:rFonts w:ascii="Times New Roman" w:hAnsi="Times New Roman" w:cs="Times New Roman"/>
          <w:sz w:val="24"/>
          <w:szCs w:val="24"/>
          <w:lang w:val="en-US"/>
        </w:rPr>
        <w:t xml:space="preserve">broadened </w:t>
      </w:r>
      <w:r w:rsidR="00EB4645" w:rsidRPr="008210C1">
        <w:rPr>
          <w:rFonts w:ascii="Times New Roman" w:hAnsi="Times New Roman" w:cs="Times New Roman"/>
          <w:sz w:val="24"/>
          <w:szCs w:val="24"/>
          <w:lang w:val="en-US"/>
        </w:rPr>
        <w:t xml:space="preserve">its </w:t>
      </w:r>
      <w:r w:rsidR="00E27079" w:rsidRPr="008210C1">
        <w:rPr>
          <w:rFonts w:ascii="Times New Roman" w:hAnsi="Times New Roman" w:cs="Times New Roman"/>
          <w:sz w:val="24"/>
          <w:szCs w:val="24"/>
          <w:lang w:val="en-US"/>
        </w:rPr>
        <w:t xml:space="preserve">control </w:t>
      </w:r>
      <w:r w:rsidR="00EB4645" w:rsidRPr="008210C1">
        <w:rPr>
          <w:rFonts w:ascii="Times New Roman" w:hAnsi="Times New Roman" w:cs="Times New Roman"/>
          <w:sz w:val="24"/>
          <w:szCs w:val="24"/>
          <w:lang w:val="en-US"/>
        </w:rPr>
        <w:t xml:space="preserve">of </w:t>
      </w:r>
      <w:r w:rsidR="00E27079" w:rsidRPr="008210C1">
        <w:rPr>
          <w:rFonts w:ascii="Times New Roman" w:hAnsi="Times New Roman" w:cs="Times New Roman"/>
          <w:sz w:val="24"/>
          <w:szCs w:val="24"/>
          <w:lang w:val="en-US"/>
        </w:rPr>
        <w:t xml:space="preserve">capital and foreign exchange derivative measures it </w:t>
      </w:r>
      <w:r w:rsidR="006D4C32" w:rsidRPr="008210C1">
        <w:rPr>
          <w:rFonts w:ascii="Times New Roman" w:hAnsi="Times New Roman" w:cs="Times New Roman"/>
          <w:sz w:val="24"/>
          <w:szCs w:val="24"/>
          <w:lang w:val="en-US"/>
        </w:rPr>
        <w:t xml:space="preserve">introduced </w:t>
      </w:r>
      <w:r w:rsidR="00EB4645" w:rsidRPr="008210C1">
        <w:rPr>
          <w:rFonts w:ascii="Times New Roman" w:hAnsi="Times New Roman" w:cs="Times New Roman"/>
          <w:sz w:val="24"/>
          <w:szCs w:val="24"/>
          <w:lang w:val="en-US"/>
        </w:rPr>
        <w:t xml:space="preserve">in </w:t>
      </w:r>
      <w:r w:rsidR="00E27079" w:rsidRPr="008210C1">
        <w:rPr>
          <w:rFonts w:ascii="Times New Roman" w:hAnsi="Times New Roman" w:cs="Times New Roman"/>
          <w:sz w:val="24"/>
          <w:szCs w:val="24"/>
          <w:lang w:val="en-US"/>
        </w:rPr>
        <w:t>October 2009</w:t>
      </w:r>
      <w:r w:rsidR="006756B5" w:rsidRPr="008210C1">
        <w:rPr>
          <w:rFonts w:ascii="Times New Roman" w:hAnsi="Times New Roman" w:cs="Times New Roman"/>
          <w:sz w:val="24"/>
          <w:szCs w:val="24"/>
          <w:lang w:val="en-US"/>
        </w:rPr>
        <w:t>, to restrain the influx of external capital into the Brazilian economy.</w:t>
      </w:r>
      <w:r w:rsidR="00E27079" w:rsidRPr="008210C1">
        <w:rPr>
          <w:rFonts w:ascii="Times New Roman" w:hAnsi="Times New Roman" w:cs="Times New Roman"/>
          <w:sz w:val="24"/>
          <w:szCs w:val="24"/>
          <w:lang w:val="en-US"/>
        </w:rPr>
        <w:t xml:space="preserve"> After starting her term</w:t>
      </w:r>
      <w:r w:rsidR="00407F9F" w:rsidRPr="008210C1">
        <w:rPr>
          <w:rFonts w:ascii="Times New Roman" w:hAnsi="Times New Roman" w:cs="Times New Roman"/>
          <w:sz w:val="24"/>
          <w:szCs w:val="24"/>
          <w:lang w:val="en-US"/>
        </w:rPr>
        <w:t xml:space="preserve"> in January 2011</w:t>
      </w:r>
      <w:r w:rsidR="006756B5"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Rousseff </w:t>
      </w:r>
      <w:r w:rsidR="00726AE7" w:rsidRPr="008210C1">
        <w:rPr>
          <w:rFonts w:ascii="Times New Roman" w:hAnsi="Times New Roman" w:cs="Times New Roman"/>
          <w:sz w:val="24"/>
          <w:szCs w:val="24"/>
          <w:lang w:val="en-US"/>
        </w:rPr>
        <w:t>started</w:t>
      </w:r>
      <w:r w:rsidR="006756B5"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an </w:t>
      </w:r>
      <w:r w:rsidR="00417114" w:rsidRPr="008210C1">
        <w:rPr>
          <w:rFonts w:ascii="Times New Roman" w:hAnsi="Times New Roman" w:cs="Times New Roman"/>
          <w:sz w:val="24"/>
          <w:szCs w:val="24"/>
          <w:lang w:val="en-US"/>
        </w:rPr>
        <w:t>ERP</w:t>
      </w:r>
      <w:r w:rsidRPr="008210C1">
        <w:rPr>
          <w:rFonts w:ascii="Times New Roman" w:hAnsi="Times New Roman" w:cs="Times New Roman"/>
          <w:sz w:val="24"/>
          <w:szCs w:val="24"/>
          <w:lang w:val="en-US"/>
        </w:rPr>
        <w:t xml:space="preserve"> </w:t>
      </w:r>
      <w:r w:rsidR="00E27079" w:rsidRPr="008210C1">
        <w:rPr>
          <w:rFonts w:ascii="Times New Roman" w:hAnsi="Times New Roman" w:cs="Times New Roman"/>
          <w:sz w:val="24"/>
          <w:szCs w:val="24"/>
          <w:lang w:val="en-US"/>
        </w:rPr>
        <w:t>that managed the trend of the exchange rate devaluation</w:t>
      </w:r>
      <w:r w:rsidR="00E817A8" w:rsidRPr="008210C1">
        <w:rPr>
          <w:rFonts w:ascii="Times New Roman" w:hAnsi="Times New Roman" w:cs="Times New Roman"/>
          <w:sz w:val="24"/>
          <w:szCs w:val="24"/>
          <w:lang w:val="en-US"/>
        </w:rPr>
        <w:t xml:space="preserve">, </w:t>
      </w:r>
      <w:r w:rsidR="00AD1CAB" w:rsidRPr="008210C1">
        <w:rPr>
          <w:rFonts w:ascii="Times New Roman" w:hAnsi="Times New Roman" w:cs="Times New Roman"/>
          <w:sz w:val="24"/>
          <w:szCs w:val="24"/>
          <w:lang w:val="en-US"/>
        </w:rPr>
        <w:t>hoping</w:t>
      </w:r>
      <w:r w:rsidR="00E817A8" w:rsidRPr="008210C1">
        <w:rPr>
          <w:rFonts w:ascii="Times New Roman" w:hAnsi="Times New Roman" w:cs="Times New Roman"/>
          <w:sz w:val="24"/>
          <w:szCs w:val="24"/>
          <w:lang w:val="en-US"/>
        </w:rPr>
        <w:t xml:space="preserve"> to make the Brazilian manufacturing industry re</w:t>
      </w:r>
      <w:r w:rsidR="00AD1CAB" w:rsidRPr="008210C1">
        <w:rPr>
          <w:rFonts w:ascii="Times New Roman" w:hAnsi="Times New Roman" w:cs="Times New Roman"/>
          <w:sz w:val="24"/>
          <w:szCs w:val="24"/>
          <w:lang w:val="en-US"/>
        </w:rPr>
        <w:t>-</w:t>
      </w:r>
      <w:r w:rsidR="00E817A8" w:rsidRPr="008210C1">
        <w:rPr>
          <w:rFonts w:ascii="Times New Roman" w:hAnsi="Times New Roman" w:cs="Times New Roman"/>
          <w:sz w:val="24"/>
          <w:szCs w:val="24"/>
          <w:lang w:val="en-US"/>
        </w:rPr>
        <w:t>enter the international markets through exchange rate competitiveness</w:t>
      </w:r>
      <w:r w:rsidR="00EB4645" w:rsidRPr="008210C1">
        <w:rPr>
          <w:rFonts w:ascii="Times New Roman" w:hAnsi="Times New Roman" w:cs="Times New Roman"/>
          <w:sz w:val="24"/>
          <w:szCs w:val="24"/>
          <w:lang w:val="en-US"/>
        </w:rPr>
        <w:t>.</w:t>
      </w:r>
      <w:r w:rsidR="00DE6077" w:rsidRPr="008210C1">
        <w:rPr>
          <w:rStyle w:val="Refdenotaderodap"/>
          <w:rFonts w:ascii="Times New Roman" w:hAnsi="Times New Roman" w:cs="Times New Roman"/>
          <w:sz w:val="24"/>
          <w:szCs w:val="24"/>
          <w:lang w:val="en-US"/>
        </w:rPr>
        <w:footnoteReference w:id="9"/>
      </w:r>
      <w:r w:rsidR="00EB4645" w:rsidRPr="008210C1">
        <w:rPr>
          <w:rFonts w:ascii="Times New Roman" w:hAnsi="Times New Roman" w:cs="Times New Roman"/>
          <w:sz w:val="24"/>
          <w:szCs w:val="24"/>
          <w:lang w:val="en-US"/>
        </w:rPr>
        <w:t xml:space="preserve"> </w:t>
      </w:r>
      <w:r w:rsidR="00407F9F" w:rsidRPr="008210C1">
        <w:rPr>
          <w:rFonts w:ascii="Times New Roman" w:hAnsi="Times New Roman" w:cs="Times New Roman"/>
          <w:sz w:val="24"/>
          <w:szCs w:val="24"/>
          <w:lang w:val="en-US"/>
        </w:rPr>
        <w:t xml:space="preserve">Beyond Rousseff’s ERP, the lower Real was due to some other factors, like the reversion of positions of investors fostered by the </w:t>
      </w:r>
      <w:r w:rsidR="00726AE7" w:rsidRPr="008210C1">
        <w:rPr>
          <w:rFonts w:ascii="Times New Roman" w:hAnsi="Times New Roman" w:cs="Times New Roman"/>
          <w:sz w:val="24"/>
          <w:szCs w:val="24"/>
          <w:lang w:val="en-US"/>
        </w:rPr>
        <w:t xml:space="preserve">foreign exchange </w:t>
      </w:r>
      <w:r w:rsidR="00407F9F" w:rsidRPr="008210C1">
        <w:rPr>
          <w:rFonts w:ascii="Times New Roman" w:hAnsi="Times New Roman" w:cs="Times New Roman"/>
          <w:sz w:val="24"/>
          <w:szCs w:val="24"/>
          <w:lang w:val="en-US"/>
        </w:rPr>
        <w:t xml:space="preserve">derivatives regulation, the reduction of the </w:t>
      </w:r>
      <w:r w:rsidR="00726AE7" w:rsidRPr="008210C1">
        <w:rPr>
          <w:rFonts w:ascii="Times New Roman" w:hAnsi="Times New Roman" w:cs="Times New Roman"/>
          <w:sz w:val="24"/>
          <w:szCs w:val="24"/>
          <w:lang w:val="en-US"/>
        </w:rPr>
        <w:t xml:space="preserve">policy </w:t>
      </w:r>
      <w:r w:rsidR="00407F9F" w:rsidRPr="008210C1">
        <w:rPr>
          <w:rFonts w:ascii="Times New Roman" w:hAnsi="Times New Roman" w:cs="Times New Roman"/>
          <w:sz w:val="24"/>
          <w:szCs w:val="24"/>
          <w:lang w:val="en-US"/>
        </w:rPr>
        <w:t>rate and the deterioration of the external context because of the euro crisis by mid-2011. Thus,</w:t>
      </w:r>
      <w:r w:rsidR="009F2B31" w:rsidRPr="008210C1">
        <w:rPr>
          <w:rFonts w:ascii="Times New Roman" w:hAnsi="Times New Roman" w:cs="Times New Roman"/>
          <w:sz w:val="24"/>
          <w:szCs w:val="24"/>
          <w:lang w:val="en-US"/>
        </w:rPr>
        <w:t xml:space="preserve"> </w:t>
      </w:r>
      <w:r w:rsidR="00407F9F" w:rsidRPr="008210C1">
        <w:rPr>
          <w:rFonts w:ascii="Times New Roman" w:hAnsi="Times New Roman" w:cs="Times New Roman"/>
          <w:sz w:val="24"/>
          <w:szCs w:val="24"/>
          <w:lang w:val="en-US"/>
        </w:rPr>
        <w:t xml:space="preserve">in </w:t>
      </w:r>
      <w:r w:rsidR="00EA2DD0" w:rsidRPr="008210C1">
        <w:rPr>
          <w:rFonts w:ascii="Times New Roman" w:hAnsi="Times New Roman" w:cs="Times New Roman"/>
          <w:sz w:val="24"/>
          <w:szCs w:val="24"/>
          <w:lang w:val="en-US"/>
        </w:rPr>
        <w:t>December 2011, the nominal exchange rate</w:t>
      </w:r>
      <w:r w:rsidRPr="008210C1">
        <w:rPr>
          <w:rFonts w:ascii="Times New Roman" w:hAnsi="Times New Roman" w:cs="Times New Roman"/>
          <w:sz w:val="24"/>
          <w:szCs w:val="24"/>
          <w:lang w:val="en-US"/>
        </w:rPr>
        <w:t xml:space="preserve"> </w:t>
      </w:r>
      <w:r w:rsidR="00AD1CAB" w:rsidRPr="008210C1">
        <w:rPr>
          <w:rFonts w:ascii="Times New Roman" w:hAnsi="Times New Roman" w:cs="Times New Roman"/>
          <w:sz w:val="24"/>
          <w:szCs w:val="24"/>
          <w:lang w:val="en-US"/>
        </w:rPr>
        <w:t xml:space="preserve">was </w:t>
      </w:r>
      <w:r w:rsidR="00973A99" w:rsidRPr="008210C1">
        <w:rPr>
          <w:rFonts w:ascii="Times New Roman" w:hAnsi="Times New Roman" w:cs="Times New Roman"/>
          <w:sz w:val="24"/>
          <w:szCs w:val="24"/>
          <w:lang w:val="en-US"/>
        </w:rPr>
        <w:t xml:space="preserve">devalued </w:t>
      </w:r>
      <w:r w:rsidR="00AD1CAB" w:rsidRPr="008210C1">
        <w:rPr>
          <w:rFonts w:ascii="Times New Roman" w:hAnsi="Times New Roman" w:cs="Times New Roman"/>
          <w:sz w:val="24"/>
          <w:szCs w:val="24"/>
          <w:lang w:val="en-US"/>
        </w:rPr>
        <w:t xml:space="preserve">by </w:t>
      </w:r>
      <w:r w:rsidR="00EA2DD0" w:rsidRPr="008210C1">
        <w:rPr>
          <w:rFonts w:ascii="Times New Roman" w:hAnsi="Times New Roman" w:cs="Times New Roman"/>
          <w:sz w:val="24"/>
          <w:szCs w:val="24"/>
          <w:lang w:val="en-US"/>
        </w:rPr>
        <w:t>12</w:t>
      </w:r>
      <w:r w:rsidR="001B66BB" w:rsidRPr="008210C1">
        <w:rPr>
          <w:rFonts w:ascii="Times New Roman" w:hAnsi="Times New Roman" w:cs="Times New Roman"/>
          <w:sz w:val="24"/>
          <w:szCs w:val="24"/>
          <w:lang w:val="en-US"/>
        </w:rPr>
        <w:t>.</w:t>
      </w:r>
      <w:r w:rsidR="00EA2DD0" w:rsidRPr="008210C1">
        <w:rPr>
          <w:rFonts w:ascii="Times New Roman" w:hAnsi="Times New Roman" w:cs="Times New Roman"/>
          <w:sz w:val="24"/>
          <w:szCs w:val="24"/>
          <w:lang w:val="en-US"/>
        </w:rPr>
        <w:t>6</w:t>
      </w:r>
      <w:r w:rsidRPr="008210C1">
        <w:rPr>
          <w:rFonts w:ascii="Times New Roman" w:hAnsi="Times New Roman" w:cs="Times New Roman"/>
          <w:sz w:val="24"/>
          <w:szCs w:val="24"/>
          <w:lang w:val="en-US"/>
        </w:rPr>
        <w:t>% in relation to</w:t>
      </w:r>
      <w:r w:rsidR="00427D2B" w:rsidRPr="008210C1">
        <w:rPr>
          <w:rFonts w:ascii="Times New Roman" w:hAnsi="Times New Roman" w:cs="Times New Roman"/>
          <w:sz w:val="24"/>
          <w:szCs w:val="24"/>
          <w:lang w:val="en-US"/>
        </w:rPr>
        <w:t xml:space="preserve"> its</w:t>
      </w:r>
      <w:r w:rsidRPr="008210C1">
        <w:rPr>
          <w:rFonts w:ascii="Times New Roman" w:hAnsi="Times New Roman" w:cs="Times New Roman"/>
          <w:sz w:val="24"/>
          <w:szCs w:val="24"/>
          <w:lang w:val="en-US"/>
        </w:rPr>
        <w:t xml:space="preserve"> </w:t>
      </w:r>
      <w:r w:rsidR="00EA2DD0" w:rsidRPr="008210C1">
        <w:rPr>
          <w:rFonts w:ascii="Times New Roman" w:hAnsi="Times New Roman" w:cs="Times New Roman"/>
          <w:sz w:val="24"/>
          <w:szCs w:val="24"/>
          <w:lang w:val="en-US"/>
        </w:rPr>
        <w:t>December</w:t>
      </w:r>
      <w:r w:rsidR="00E817A8" w:rsidRPr="008210C1">
        <w:rPr>
          <w:rFonts w:ascii="Times New Roman" w:hAnsi="Times New Roman" w:cs="Times New Roman"/>
          <w:sz w:val="24"/>
          <w:szCs w:val="24"/>
          <w:lang w:val="en-US"/>
        </w:rPr>
        <w:t xml:space="preserve"> 2010</w:t>
      </w:r>
      <w:r w:rsidR="00427D2B" w:rsidRPr="008210C1">
        <w:rPr>
          <w:rFonts w:ascii="Times New Roman" w:hAnsi="Times New Roman" w:cs="Times New Roman"/>
          <w:sz w:val="24"/>
          <w:szCs w:val="24"/>
          <w:lang w:val="en-US"/>
        </w:rPr>
        <w:t xml:space="preserve"> value</w:t>
      </w:r>
      <w:r w:rsidR="00E817A8" w:rsidRPr="008210C1">
        <w:rPr>
          <w:rFonts w:ascii="Times New Roman" w:hAnsi="Times New Roman" w:cs="Times New Roman"/>
          <w:sz w:val="24"/>
          <w:szCs w:val="24"/>
          <w:lang w:val="en-US"/>
        </w:rPr>
        <w:t xml:space="preserve">; </w:t>
      </w:r>
      <w:r w:rsidR="00EA2DD0" w:rsidRPr="008210C1">
        <w:rPr>
          <w:rFonts w:ascii="Times New Roman" w:hAnsi="Times New Roman" w:cs="Times New Roman"/>
          <w:sz w:val="24"/>
          <w:szCs w:val="24"/>
          <w:lang w:val="en-US"/>
        </w:rPr>
        <w:t xml:space="preserve">in </w:t>
      </w:r>
      <w:r w:rsidR="00E817A8" w:rsidRPr="008210C1">
        <w:rPr>
          <w:rFonts w:ascii="Times New Roman" w:hAnsi="Times New Roman" w:cs="Times New Roman"/>
          <w:sz w:val="24"/>
          <w:szCs w:val="24"/>
          <w:lang w:val="en-US"/>
        </w:rPr>
        <w:t>2012,</w:t>
      </w:r>
      <w:r w:rsidR="00EA2DD0" w:rsidRPr="008210C1">
        <w:rPr>
          <w:rFonts w:ascii="Times New Roman" w:hAnsi="Times New Roman" w:cs="Times New Roman"/>
          <w:sz w:val="24"/>
          <w:szCs w:val="24"/>
          <w:lang w:val="en-US"/>
        </w:rPr>
        <w:t xml:space="preserve"> </w:t>
      </w:r>
      <w:r w:rsidR="00E817A8" w:rsidRPr="008210C1">
        <w:rPr>
          <w:rFonts w:ascii="Times New Roman" w:hAnsi="Times New Roman" w:cs="Times New Roman"/>
          <w:sz w:val="24"/>
          <w:szCs w:val="24"/>
          <w:lang w:val="en-US"/>
        </w:rPr>
        <w:t>it had</w:t>
      </w:r>
      <w:r w:rsidR="00EA2DD0" w:rsidRPr="008210C1">
        <w:rPr>
          <w:rFonts w:ascii="Times New Roman" w:hAnsi="Times New Roman" w:cs="Times New Roman"/>
          <w:sz w:val="24"/>
          <w:szCs w:val="24"/>
          <w:lang w:val="en-US"/>
        </w:rPr>
        <w:t xml:space="preserve"> a</w:t>
      </w:r>
      <w:r w:rsidR="009B3A15" w:rsidRPr="008210C1">
        <w:rPr>
          <w:rFonts w:ascii="Times New Roman" w:hAnsi="Times New Roman" w:cs="Times New Roman"/>
          <w:sz w:val="24"/>
          <w:szCs w:val="24"/>
          <w:lang w:val="en-US"/>
        </w:rPr>
        <w:t xml:space="preserve">n </w:t>
      </w:r>
      <w:r w:rsidR="00DD4F9A" w:rsidRPr="008210C1">
        <w:rPr>
          <w:rFonts w:ascii="Times New Roman" w:hAnsi="Times New Roman" w:cs="Times New Roman"/>
          <w:sz w:val="24"/>
          <w:szCs w:val="24"/>
          <w:lang w:val="en-US"/>
        </w:rPr>
        <w:t>additional</w:t>
      </w:r>
      <w:r w:rsidR="00EA2DD0" w:rsidRPr="008210C1">
        <w:rPr>
          <w:rFonts w:ascii="Times New Roman" w:hAnsi="Times New Roman" w:cs="Times New Roman"/>
          <w:sz w:val="24"/>
          <w:szCs w:val="24"/>
          <w:lang w:val="en-US"/>
        </w:rPr>
        <w:t xml:space="preserve"> 8</w:t>
      </w:r>
      <w:r w:rsidR="001B66BB" w:rsidRPr="008210C1">
        <w:rPr>
          <w:rFonts w:ascii="Times New Roman" w:hAnsi="Times New Roman" w:cs="Times New Roman"/>
          <w:sz w:val="24"/>
          <w:szCs w:val="24"/>
          <w:lang w:val="en-US"/>
        </w:rPr>
        <w:t>.</w:t>
      </w:r>
      <w:r w:rsidR="00EA2DD0" w:rsidRPr="008210C1">
        <w:rPr>
          <w:rFonts w:ascii="Times New Roman" w:hAnsi="Times New Roman" w:cs="Times New Roman"/>
          <w:sz w:val="24"/>
          <w:szCs w:val="24"/>
          <w:lang w:val="en-US"/>
        </w:rPr>
        <w:t>9% devaluation</w:t>
      </w:r>
      <w:r w:rsidRPr="008210C1">
        <w:rPr>
          <w:rFonts w:ascii="Times New Roman" w:hAnsi="Times New Roman" w:cs="Times New Roman"/>
          <w:sz w:val="24"/>
          <w:szCs w:val="24"/>
          <w:lang w:val="en-US"/>
        </w:rPr>
        <w:t>.</w:t>
      </w:r>
      <w:r w:rsidR="009B3A15" w:rsidRPr="008210C1">
        <w:rPr>
          <w:rFonts w:ascii="Times New Roman" w:hAnsi="Times New Roman" w:cs="Times New Roman"/>
          <w:sz w:val="24"/>
          <w:szCs w:val="24"/>
          <w:lang w:val="en-US"/>
        </w:rPr>
        <w:t xml:space="preserve"> </w:t>
      </w:r>
      <w:r w:rsidR="00AD1CAB" w:rsidRPr="008210C1">
        <w:rPr>
          <w:rFonts w:ascii="Times New Roman" w:hAnsi="Times New Roman" w:cs="Times New Roman"/>
          <w:sz w:val="24"/>
          <w:szCs w:val="24"/>
          <w:lang w:val="en-US"/>
        </w:rPr>
        <w:t xml:space="preserve">In terms of </w:t>
      </w:r>
      <w:r w:rsidR="00EA2DD0" w:rsidRPr="008210C1">
        <w:rPr>
          <w:rFonts w:ascii="Times New Roman" w:hAnsi="Times New Roman" w:cs="Times New Roman"/>
          <w:sz w:val="24"/>
          <w:szCs w:val="24"/>
          <w:lang w:val="en-US"/>
        </w:rPr>
        <w:t xml:space="preserve">the effective </w:t>
      </w:r>
      <w:r w:rsidR="00933F49" w:rsidRPr="008210C1">
        <w:rPr>
          <w:rFonts w:ascii="Times New Roman" w:hAnsi="Times New Roman" w:cs="Times New Roman"/>
          <w:sz w:val="24"/>
          <w:szCs w:val="24"/>
          <w:lang w:val="en-US"/>
        </w:rPr>
        <w:t>RER</w:t>
      </w:r>
      <w:r w:rsidR="00EA2DD0" w:rsidRPr="008210C1">
        <w:rPr>
          <w:rFonts w:ascii="Times New Roman" w:hAnsi="Times New Roman" w:cs="Times New Roman"/>
          <w:sz w:val="24"/>
          <w:szCs w:val="24"/>
          <w:lang w:val="en-US"/>
        </w:rPr>
        <w:t>, th</w:t>
      </w:r>
      <w:r w:rsidR="00AD1CAB" w:rsidRPr="008210C1">
        <w:rPr>
          <w:rFonts w:ascii="Times New Roman" w:hAnsi="Times New Roman" w:cs="Times New Roman"/>
          <w:sz w:val="24"/>
          <w:szCs w:val="24"/>
          <w:lang w:val="en-US"/>
        </w:rPr>
        <w:t>o</w:t>
      </w:r>
      <w:r w:rsidR="00EA2DD0" w:rsidRPr="008210C1">
        <w:rPr>
          <w:rFonts w:ascii="Times New Roman" w:hAnsi="Times New Roman" w:cs="Times New Roman"/>
          <w:sz w:val="24"/>
          <w:szCs w:val="24"/>
          <w:lang w:val="en-US"/>
        </w:rPr>
        <w:t>se percentages were 5</w:t>
      </w:r>
      <w:r w:rsidR="001B66BB" w:rsidRPr="008210C1">
        <w:rPr>
          <w:rFonts w:ascii="Times New Roman" w:hAnsi="Times New Roman" w:cs="Times New Roman"/>
          <w:sz w:val="24"/>
          <w:szCs w:val="24"/>
          <w:lang w:val="en-US"/>
        </w:rPr>
        <w:t>.</w:t>
      </w:r>
      <w:r w:rsidR="00EA2DD0" w:rsidRPr="008210C1">
        <w:rPr>
          <w:rFonts w:ascii="Times New Roman" w:hAnsi="Times New Roman" w:cs="Times New Roman"/>
          <w:sz w:val="24"/>
          <w:szCs w:val="24"/>
          <w:lang w:val="en-US"/>
        </w:rPr>
        <w:t>4% and 9</w:t>
      </w:r>
      <w:r w:rsidR="00A22662" w:rsidRPr="008210C1">
        <w:rPr>
          <w:rFonts w:ascii="Times New Roman" w:hAnsi="Times New Roman" w:cs="Times New Roman"/>
          <w:sz w:val="24"/>
          <w:szCs w:val="24"/>
          <w:lang w:val="en-US"/>
        </w:rPr>
        <w:t>.</w:t>
      </w:r>
      <w:r w:rsidR="00EA2DD0" w:rsidRPr="008210C1">
        <w:rPr>
          <w:rFonts w:ascii="Times New Roman" w:hAnsi="Times New Roman" w:cs="Times New Roman"/>
          <w:sz w:val="24"/>
          <w:szCs w:val="24"/>
          <w:lang w:val="en-US"/>
        </w:rPr>
        <w:t>8% respectively (</w:t>
      </w:r>
      <w:proofErr w:type="spellStart"/>
      <w:r w:rsidR="00EA2DD0" w:rsidRPr="008210C1">
        <w:rPr>
          <w:rFonts w:ascii="Times New Roman" w:hAnsi="Times New Roman" w:cs="Times New Roman"/>
          <w:sz w:val="24"/>
          <w:szCs w:val="24"/>
          <w:lang w:val="en-US"/>
        </w:rPr>
        <w:t>Ipeadata</w:t>
      </w:r>
      <w:proofErr w:type="spellEnd"/>
      <w:r w:rsidR="00EA2DD0" w:rsidRPr="008210C1">
        <w:rPr>
          <w:rFonts w:ascii="Times New Roman" w:hAnsi="Times New Roman" w:cs="Times New Roman"/>
          <w:sz w:val="24"/>
          <w:szCs w:val="24"/>
          <w:lang w:val="en-US"/>
        </w:rPr>
        <w:t>, 2017).</w:t>
      </w:r>
      <w:r w:rsidRPr="008210C1">
        <w:rPr>
          <w:rFonts w:ascii="Times New Roman" w:hAnsi="Times New Roman" w:cs="Times New Roman"/>
          <w:sz w:val="24"/>
          <w:szCs w:val="24"/>
          <w:lang w:val="en-US"/>
        </w:rPr>
        <w:t xml:space="preserve"> </w:t>
      </w:r>
      <w:r w:rsidR="00427D2B" w:rsidRPr="008210C1">
        <w:rPr>
          <w:rFonts w:ascii="Times New Roman" w:hAnsi="Times New Roman" w:cs="Times New Roman"/>
          <w:sz w:val="24"/>
          <w:szCs w:val="24"/>
          <w:lang w:val="en-US"/>
        </w:rPr>
        <w:t>Still, th</w:t>
      </w:r>
      <w:r w:rsidR="00AD1CAB" w:rsidRPr="008210C1">
        <w:rPr>
          <w:rFonts w:ascii="Times New Roman" w:hAnsi="Times New Roman" w:cs="Times New Roman"/>
          <w:sz w:val="24"/>
          <w:szCs w:val="24"/>
          <w:lang w:val="en-US"/>
        </w:rPr>
        <w:t>e</w:t>
      </w:r>
      <w:r w:rsidR="00427D2B" w:rsidRPr="008210C1">
        <w:rPr>
          <w:rFonts w:ascii="Times New Roman" w:hAnsi="Times New Roman" w:cs="Times New Roman"/>
          <w:sz w:val="24"/>
          <w:szCs w:val="24"/>
          <w:lang w:val="en-US"/>
        </w:rPr>
        <w:t xml:space="preserve"> 23</w:t>
      </w:r>
      <w:r w:rsidR="001B66BB" w:rsidRPr="008210C1">
        <w:rPr>
          <w:rFonts w:ascii="Times New Roman" w:hAnsi="Times New Roman" w:cs="Times New Roman"/>
          <w:sz w:val="24"/>
          <w:szCs w:val="24"/>
          <w:lang w:val="en-US"/>
        </w:rPr>
        <w:t>.</w:t>
      </w:r>
      <w:r w:rsidR="00427D2B" w:rsidRPr="008210C1">
        <w:rPr>
          <w:rFonts w:ascii="Times New Roman" w:hAnsi="Times New Roman" w:cs="Times New Roman"/>
          <w:sz w:val="24"/>
          <w:szCs w:val="24"/>
          <w:lang w:val="en-US"/>
        </w:rPr>
        <w:t xml:space="preserve">3% </w:t>
      </w:r>
      <w:r w:rsidR="00457973" w:rsidRPr="008210C1">
        <w:rPr>
          <w:rFonts w:ascii="Times New Roman" w:hAnsi="Times New Roman" w:cs="Times New Roman"/>
          <w:sz w:val="24"/>
          <w:szCs w:val="24"/>
          <w:lang w:val="en-US"/>
        </w:rPr>
        <w:t xml:space="preserve">nominal </w:t>
      </w:r>
      <w:r w:rsidR="00427D2B" w:rsidRPr="008210C1">
        <w:rPr>
          <w:rFonts w:ascii="Times New Roman" w:hAnsi="Times New Roman" w:cs="Times New Roman"/>
          <w:sz w:val="24"/>
          <w:szCs w:val="24"/>
          <w:lang w:val="en-US"/>
        </w:rPr>
        <w:t xml:space="preserve">exchange rate devaluation between 2011 and 2013 was insufficient to offset the </w:t>
      </w:r>
      <w:r w:rsidR="00457973" w:rsidRPr="008210C1">
        <w:rPr>
          <w:rFonts w:ascii="Times New Roman" w:hAnsi="Times New Roman" w:cs="Times New Roman"/>
          <w:sz w:val="24"/>
          <w:szCs w:val="24"/>
          <w:lang w:val="en-US"/>
        </w:rPr>
        <w:t xml:space="preserve">2003-2010 </w:t>
      </w:r>
      <w:r w:rsidR="00427D2B" w:rsidRPr="008210C1">
        <w:rPr>
          <w:rFonts w:ascii="Times New Roman" w:hAnsi="Times New Roman" w:cs="Times New Roman"/>
          <w:sz w:val="24"/>
          <w:szCs w:val="24"/>
          <w:lang w:val="en-US"/>
        </w:rPr>
        <w:t>56</w:t>
      </w:r>
      <w:r w:rsidR="001B66BB" w:rsidRPr="008210C1">
        <w:rPr>
          <w:rFonts w:ascii="Times New Roman" w:hAnsi="Times New Roman" w:cs="Times New Roman"/>
          <w:sz w:val="24"/>
          <w:szCs w:val="24"/>
          <w:lang w:val="en-US"/>
        </w:rPr>
        <w:t>.</w:t>
      </w:r>
      <w:r w:rsidR="00427D2B" w:rsidRPr="008210C1">
        <w:rPr>
          <w:rFonts w:ascii="Times New Roman" w:hAnsi="Times New Roman" w:cs="Times New Roman"/>
          <w:sz w:val="24"/>
          <w:szCs w:val="24"/>
          <w:lang w:val="en-US"/>
        </w:rPr>
        <w:t xml:space="preserve">8% </w:t>
      </w:r>
      <w:r w:rsidR="00417114" w:rsidRPr="008210C1">
        <w:rPr>
          <w:rFonts w:ascii="Times New Roman" w:hAnsi="Times New Roman" w:cs="Times New Roman"/>
          <w:sz w:val="24"/>
          <w:szCs w:val="24"/>
          <w:lang w:val="en-US"/>
        </w:rPr>
        <w:t>RER</w:t>
      </w:r>
      <w:r w:rsidR="00427D2B" w:rsidRPr="008210C1">
        <w:rPr>
          <w:rFonts w:ascii="Times New Roman" w:hAnsi="Times New Roman" w:cs="Times New Roman"/>
          <w:sz w:val="24"/>
          <w:szCs w:val="24"/>
          <w:lang w:val="en-US"/>
        </w:rPr>
        <w:t xml:space="preserve"> valuation (</w:t>
      </w:r>
      <w:proofErr w:type="spellStart"/>
      <w:r w:rsidR="00427D2B" w:rsidRPr="008210C1">
        <w:rPr>
          <w:rFonts w:ascii="Times New Roman" w:hAnsi="Times New Roman" w:cs="Times New Roman"/>
          <w:sz w:val="24"/>
          <w:szCs w:val="24"/>
          <w:lang w:val="en-US"/>
        </w:rPr>
        <w:t>Ipeadata</w:t>
      </w:r>
      <w:proofErr w:type="spellEnd"/>
      <w:r w:rsidR="00427D2B" w:rsidRPr="008210C1">
        <w:rPr>
          <w:rFonts w:ascii="Times New Roman" w:hAnsi="Times New Roman" w:cs="Times New Roman"/>
          <w:sz w:val="24"/>
          <w:szCs w:val="24"/>
          <w:lang w:val="en-US"/>
        </w:rPr>
        <w:t xml:space="preserve">, 2017). </w:t>
      </w:r>
    </w:p>
    <w:p w:rsidR="003C176A" w:rsidRPr="008210C1" w:rsidRDefault="00157099"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The BCB took measures to </w:t>
      </w:r>
      <w:r w:rsidR="00EC74C6" w:rsidRPr="008210C1">
        <w:rPr>
          <w:rFonts w:ascii="Times New Roman" w:hAnsi="Times New Roman" w:cs="Times New Roman"/>
          <w:sz w:val="24"/>
          <w:szCs w:val="24"/>
          <w:lang w:val="en-US"/>
        </w:rPr>
        <w:t xml:space="preserve">attain </w:t>
      </w:r>
      <w:r w:rsidR="003F2FA2" w:rsidRPr="008210C1">
        <w:rPr>
          <w:rFonts w:ascii="Times New Roman" w:hAnsi="Times New Roman" w:cs="Times New Roman"/>
          <w:sz w:val="24"/>
          <w:szCs w:val="24"/>
          <w:lang w:val="en-US"/>
        </w:rPr>
        <w:t xml:space="preserve">the mild </w:t>
      </w:r>
      <w:r w:rsidR="002C2902" w:rsidRPr="008210C1">
        <w:rPr>
          <w:rFonts w:ascii="Times New Roman" w:hAnsi="Times New Roman" w:cs="Times New Roman"/>
          <w:sz w:val="24"/>
          <w:szCs w:val="24"/>
          <w:lang w:val="en-US"/>
        </w:rPr>
        <w:t>currency</w:t>
      </w:r>
      <w:r w:rsidR="003F2FA2" w:rsidRPr="008210C1">
        <w:rPr>
          <w:rFonts w:ascii="Times New Roman" w:hAnsi="Times New Roman" w:cs="Times New Roman"/>
          <w:sz w:val="24"/>
          <w:szCs w:val="24"/>
          <w:lang w:val="en-US"/>
        </w:rPr>
        <w:t xml:space="preserve"> devaluation, </w:t>
      </w:r>
      <w:r w:rsidR="009D0401" w:rsidRPr="008210C1">
        <w:rPr>
          <w:rFonts w:ascii="Times New Roman" w:hAnsi="Times New Roman" w:cs="Times New Roman"/>
          <w:sz w:val="24"/>
          <w:szCs w:val="24"/>
          <w:lang w:val="en-US"/>
        </w:rPr>
        <w:t xml:space="preserve">namely </w:t>
      </w:r>
      <w:r w:rsidR="00DE6077" w:rsidRPr="008210C1">
        <w:rPr>
          <w:rFonts w:ascii="Times New Roman" w:hAnsi="Times New Roman" w:cs="Times New Roman"/>
          <w:sz w:val="24"/>
          <w:szCs w:val="24"/>
          <w:lang w:val="en-US"/>
        </w:rPr>
        <w:t xml:space="preserve">controls on </w:t>
      </w:r>
      <w:r w:rsidR="009D0401" w:rsidRPr="008210C1">
        <w:rPr>
          <w:rFonts w:ascii="Times New Roman" w:hAnsi="Times New Roman" w:cs="Times New Roman"/>
          <w:sz w:val="24"/>
          <w:szCs w:val="24"/>
          <w:lang w:val="en-US"/>
        </w:rPr>
        <w:t xml:space="preserve">capital </w:t>
      </w:r>
      <w:r w:rsidR="00DE6077" w:rsidRPr="008210C1">
        <w:rPr>
          <w:rFonts w:ascii="Times New Roman" w:hAnsi="Times New Roman" w:cs="Times New Roman"/>
          <w:sz w:val="24"/>
          <w:szCs w:val="24"/>
          <w:lang w:val="en-US"/>
        </w:rPr>
        <w:t>flows</w:t>
      </w:r>
      <w:r w:rsidRPr="008210C1">
        <w:rPr>
          <w:rFonts w:ascii="Times New Roman" w:hAnsi="Times New Roman" w:cs="Times New Roman"/>
          <w:sz w:val="24"/>
          <w:szCs w:val="24"/>
          <w:lang w:val="en-US"/>
        </w:rPr>
        <w:t xml:space="preserve"> and on</w:t>
      </w:r>
      <w:r w:rsidR="00DE6077" w:rsidRPr="008210C1">
        <w:rPr>
          <w:rFonts w:ascii="Times New Roman" w:hAnsi="Times New Roman" w:cs="Times New Roman"/>
          <w:sz w:val="24"/>
          <w:szCs w:val="24"/>
          <w:lang w:val="en-US"/>
        </w:rPr>
        <w:t xml:space="preserve"> foreign exchange derivatives</w:t>
      </w:r>
      <w:r w:rsidR="009D0401" w:rsidRPr="008210C1">
        <w:rPr>
          <w:rFonts w:ascii="Times New Roman" w:hAnsi="Times New Roman" w:cs="Times New Roman"/>
          <w:sz w:val="24"/>
          <w:szCs w:val="24"/>
          <w:lang w:val="en-US"/>
        </w:rPr>
        <w:t>, foreign reserves accumulation</w:t>
      </w:r>
      <w:r w:rsidR="0074091D" w:rsidRPr="008210C1">
        <w:rPr>
          <w:rFonts w:ascii="Times New Roman" w:hAnsi="Times New Roman" w:cs="Times New Roman"/>
          <w:sz w:val="24"/>
          <w:szCs w:val="24"/>
          <w:lang w:val="en-US"/>
        </w:rPr>
        <w:t xml:space="preserve"> </w:t>
      </w:r>
      <w:r w:rsidR="009D0401" w:rsidRPr="008210C1">
        <w:rPr>
          <w:rFonts w:ascii="Times New Roman" w:hAnsi="Times New Roman" w:cs="Times New Roman"/>
          <w:sz w:val="24"/>
          <w:szCs w:val="24"/>
          <w:lang w:val="en-US"/>
        </w:rPr>
        <w:t xml:space="preserve">and hedge contracts </w:t>
      </w:r>
      <w:r w:rsidR="00BD6D74" w:rsidRPr="008210C1">
        <w:rPr>
          <w:rFonts w:ascii="Times New Roman" w:hAnsi="Times New Roman" w:cs="Times New Roman"/>
          <w:sz w:val="24"/>
          <w:szCs w:val="24"/>
          <w:lang w:val="en-US"/>
        </w:rPr>
        <w:t xml:space="preserve">through </w:t>
      </w:r>
      <w:r w:rsidR="009D0401" w:rsidRPr="008210C1">
        <w:rPr>
          <w:rFonts w:ascii="Times New Roman" w:hAnsi="Times New Roman" w:cs="Times New Roman"/>
          <w:sz w:val="24"/>
          <w:szCs w:val="24"/>
          <w:lang w:val="en-US"/>
        </w:rPr>
        <w:t>exchange rate swap operations.</w:t>
      </w:r>
      <w:r w:rsidR="00544949" w:rsidRPr="008210C1">
        <w:rPr>
          <w:rFonts w:ascii="Times New Roman" w:hAnsi="Times New Roman" w:cs="Times New Roman"/>
          <w:sz w:val="24"/>
          <w:szCs w:val="24"/>
          <w:lang w:val="en-US"/>
        </w:rPr>
        <w:t xml:space="preserve"> </w:t>
      </w:r>
      <w:r w:rsidR="00427D2B" w:rsidRPr="008210C1">
        <w:rPr>
          <w:rFonts w:ascii="Times New Roman" w:hAnsi="Times New Roman" w:cs="Times New Roman"/>
          <w:sz w:val="24"/>
          <w:szCs w:val="24"/>
          <w:lang w:val="en-US"/>
        </w:rPr>
        <w:t xml:space="preserve">Capital </w:t>
      </w:r>
      <w:r w:rsidR="009D0401" w:rsidRPr="008210C1">
        <w:rPr>
          <w:rFonts w:ascii="Times New Roman" w:hAnsi="Times New Roman" w:cs="Times New Roman"/>
          <w:sz w:val="24"/>
          <w:szCs w:val="24"/>
          <w:lang w:val="en-US"/>
        </w:rPr>
        <w:t>control</w:t>
      </w:r>
      <w:r w:rsidR="00427D2B" w:rsidRPr="008210C1">
        <w:rPr>
          <w:rFonts w:ascii="Times New Roman" w:hAnsi="Times New Roman" w:cs="Times New Roman"/>
          <w:sz w:val="24"/>
          <w:szCs w:val="24"/>
          <w:lang w:val="en-US"/>
        </w:rPr>
        <w:t>s</w:t>
      </w:r>
      <w:r w:rsidR="009D0401" w:rsidRPr="008210C1">
        <w:rPr>
          <w:rFonts w:ascii="Times New Roman" w:hAnsi="Times New Roman" w:cs="Times New Roman"/>
          <w:sz w:val="24"/>
          <w:szCs w:val="24"/>
          <w:lang w:val="en-US"/>
        </w:rPr>
        <w:t xml:space="preserve"> </w:t>
      </w:r>
      <w:r w:rsidR="00A22662" w:rsidRPr="008210C1">
        <w:rPr>
          <w:rFonts w:ascii="Times New Roman" w:hAnsi="Times New Roman" w:cs="Times New Roman"/>
          <w:sz w:val="24"/>
          <w:szCs w:val="24"/>
          <w:lang w:val="en-US"/>
        </w:rPr>
        <w:t>began</w:t>
      </w:r>
      <w:r w:rsidR="009D0401" w:rsidRPr="008210C1">
        <w:rPr>
          <w:rFonts w:ascii="Times New Roman" w:hAnsi="Times New Roman" w:cs="Times New Roman"/>
          <w:sz w:val="24"/>
          <w:szCs w:val="24"/>
          <w:lang w:val="en-US"/>
        </w:rPr>
        <w:t xml:space="preserve"> in 2011, when the government </w:t>
      </w:r>
      <w:r w:rsidR="00A22662" w:rsidRPr="008210C1">
        <w:rPr>
          <w:rFonts w:ascii="Times New Roman" w:hAnsi="Times New Roman" w:cs="Times New Roman"/>
          <w:sz w:val="24"/>
          <w:szCs w:val="24"/>
          <w:lang w:val="en-US"/>
        </w:rPr>
        <w:t xml:space="preserve">rose </w:t>
      </w:r>
      <w:r w:rsidR="009D0401" w:rsidRPr="008210C1">
        <w:rPr>
          <w:rFonts w:ascii="Times New Roman" w:hAnsi="Times New Roman" w:cs="Times New Roman"/>
          <w:sz w:val="24"/>
          <w:szCs w:val="24"/>
          <w:lang w:val="en-US"/>
        </w:rPr>
        <w:t>taxes on</w:t>
      </w:r>
      <w:r w:rsidR="00BD6D74"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short-</w:t>
      </w:r>
      <w:r w:rsidR="009D0401" w:rsidRPr="008210C1">
        <w:rPr>
          <w:rFonts w:ascii="Times New Roman" w:hAnsi="Times New Roman" w:cs="Times New Roman"/>
          <w:sz w:val="24"/>
          <w:szCs w:val="24"/>
          <w:lang w:val="en-US"/>
        </w:rPr>
        <w:t>term capital</w:t>
      </w:r>
      <w:r w:rsidR="00A22662" w:rsidRPr="008210C1">
        <w:rPr>
          <w:rFonts w:ascii="Times New Roman" w:hAnsi="Times New Roman" w:cs="Times New Roman"/>
          <w:sz w:val="24"/>
          <w:szCs w:val="24"/>
          <w:lang w:val="en-US"/>
        </w:rPr>
        <w:t xml:space="preserve"> influx</w:t>
      </w:r>
      <w:r w:rsidR="009D0401" w:rsidRPr="008210C1">
        <w:rPr>
          <w:rFonts w:ascii="Times New Roman" w:hAnsi="Times New Roman" w:cs="Times New Roman"/>
          <w:sz w:val="24"/>
          <w:szCs w:val="24"/>
          <w:lang w:val="en-US"/>
        </w:rPr>
        <w:t xml:space="preserve">. </w:t>
      </w:r>
      <w:r w:rsidR="00BD6D74" w:rsidRPr="008210C1">
        <w:rPr>
          <w:rFonts w:ascii="Times New Roman" w:hAnsi="Times New Roman" w:cs="Times New Roman"/>
          <w:sz w:val="24"/>
          <w:szCs w:val="24"/>
          <w:lang w:val="en-US"/>
        </w:rPr>
        <w:t>However, the gover</w:t>
      </w:r>
      <w:r w:rsidR="003F2FA2" w:rsidRPr="008210C1">
        <w:rPr>
          <w:rFonts w:ascii="Times New Roman" w:hAnsi="Times New Roman" w:cs="Times New Roman"/>
          <w:sz w:val="24"/>
          <w:szCs w:val="24"/>
          <w:lang w:val="en-US"/>
        </w:rPr>
        <w:t>nment started changing the rule</w:t>
      </w:r>
      <w:r w:rsidR="00DE6077" w:rsidRPr="008210C1">
        <w:rPr>
          <w:rFonts w:ascii="Times New Roman" w:hAnsi="Times New Roman" w:cs="Times New Roman"/>
          <w:sz w:val="24"/>
          <w:szCs w:val="24"/>
          <w:lang w:val="en-US"/>
        </w:rPr>
        <w:t xml:space="preserve"> as per the international liquidity</w:t>
      </w:r>
      <w:r w:rsidR="009907AF" w:rsidRPr="008210C1">
        <w:rPr>
          <w:rFonts w:ascii="Times New Roman" w:hAnsi="Times New Roman" w:cs="Times New Roman"/>
          <w:sz w:val="24"/>
          <w:szCs w:val="24"/>
          <w:lang w:val="en-US"/>
        </w:rPr>
        <w:t xml:space="preserve">. It </w:t>
      </w:r>
      <w:r w:rsidR="00CC7AB1" w:rsidRPr="008210C1">
        <w:rPr>
          <w:rFonts w:ascii="Times New Roman" w:hAnsi="Times New Roman" w:cs="Times New Roman"/>
          <w:sz w:val="24"/>
          <w:szCs w:val="24"/>
          <w:lang w:val="en-US"/>
        </w:rPr>
        <w:t>implement</w:t>
      </w:r>
      <w:r w:rsidR="009907AF" w:rsidRPr="008210C1">
        <w:rPr>
          <w:rFonts w:ascii="Times New Roman" w:hAnsi="Times New Roman" w:cs="Times New Roman"/>
          <w:sz w:val="24"/>
          <w:szCs w:val="24"/>
          <w:lang w:val="en-US"/>
        </w:rPr>
        <w:t xml:space="preserve">ed </w:t>
      </w:r>
      <w:r w:rsidR="00CC7AB1" w:rsidRPr="008210C1">
        <w:rPr>
          <w:rFonts w:ascii="Times New Roman" w:hAnsi="Times New Roman" w:cs="Times New Roman"/>
          <w:sz w:val="24"/>
          <w:szCs w:val="24"/>
          <w:lang w:val="en-US"/>
        </w:rPr>
        <w:t xml:space="preserve">capital </w:t>
      </w:r>
      <w:r w:rsidR="009D0401" w:rsidRPr="008210C1">
        <w:rPr>
          <w:rFonts w:ascii="Times New Roman" w:hAnsi="Times New Roman" w:cs="Times New Roman"/>
          <w:sz w:val="24"/>
          <w:szCs w:val="24"/>
          <w:lang w:val="en-US"/>
        </w:rPr>
        <w:t>control</w:t>
      </w:r>
      <w:r w:rsidR="009907AF" w:rsidRPr="008210C1">
        <w:rPr>
          <w:rFonts w:ascii="Times New Roman" w:hAnsi="Times New Roman" w:cs="Times New Roman"/>
          <w:sz w:val="24"/>
          <w:szCs w:val="24"/>
          <w:lang w:val="en-US"/>
        </w:rPr>
        <w:t>s</w:t>
      </w:r>
      <w:r w:rsidR="009D0401" w:rsidRPr="008210C1">
        <w:rPr>
          <w:rFonts w:ascii="Times New Roman" w:hAnsi="Times New Roman" w:cs="Times New Roman"/>
          <w:sz w:val="24"/>
          <w:szCs w:val="24"/>
          <w:lang w:val="en-US"/>
        </w:rPr>
        <w:t xml:space="preserve">, then elevated the levy and </w:t>
      </w:r>
      <w:r w:rsidR="00BD6D74" w:rsidRPr="008210C1">
        <w:rPr>
          <w:rFonts w:ascii="Times New Roman" w:hAnsi="Times New Roman" w:cs="Times New Roman"/>
          <w:sz w:val="24"/>
          <w:szCs w:val="24"/>
          <w:lang w:val="en-US"/>
        </w:rPr>
        <w:t xml:space="preserve">briefly </w:t>
      </w:r>
      <w:r w:rsidR="009D0401" w:rsidRPr="008210C1">
        <w:rPr>
          <w:rFonts w:ascii="Times New Roman" w:hAnsi="Times New Roman" w:cs="Times New Roman"/>
          <w:sz w:val="24"/>
          <w:szCs w:val="24"/>
          <w:lang w:val="en-US"/>
        </w:rPr>
        <w:t>after</w:t>
      </w:r>
      <w:r w:rsidR="009907AF" w:rsidRPr="008210C1">
        <w:rPr>
          <w:rFonts w:ascii="Times New Roman" w:hAnsi="Times New Roman" w:cs="Times New Roman"/>
          <w:sz w:val="24"/>
          <w:szCs w:val="24"/>
          <w:lang w:val="en-US"/>
        </w:rPr>
        <w:t>wards</w:t>
      </w:r>
      <w:r w:rsidR="009D0401" w:rsidRPr="008210C1">
        <w:rPr>
          <w:rFonts w:ascii="Times New Roman" w:hAnsi="Times New Roman" w:cs="Times New Roman"/>
          <w:sz w:val="24"/>
          <w:szCs w:val="24"/>
          <w:lang w:val="en-US"/>
        </w:rPr>
        <w:t xml:space="preserve"> retired the rule</w:t>
      </w:r>
      <w:r w:rsidR="009907AF" w:rsidRPr="008210C1">
        <w:rPr>
          <w:rFonts w:ascii="Times New Roman" w:hAnsi="Times New Roman" w:cs="Times New Roman"/>
          <w:sz w:val="24"/>
          <w:szCs w:val="24"/>
          <w:lang w:val="en-US"/>
        </w:rPr>
        <w:t xml:space="preserve">; </w:t>
      </w:r>
      <w:r w:rsidR="009D0401" w:rsidRPr="008210C1">
        <w:rPr>
          <w:rFonts w:ascii="Times New Roman" w:hAnsi="Times New Roman" w:cs="Times New Roman"/>
          <w:sz w:val="24"/>
          <w:szCs w:val="24"/>
          <w:lang w:val="en-US"/>
        </w:rPr>
        <w:t>all in a very short perio</w:t>
      </w:r>
      <w:r w:rsidR="003F2FA2" w:rsidRPr="008210C1">
        <w:rPr>
          <w:rFonts w:ascii="Times New Roman" w:hAnsi="Times New Roman" w:cs="Times New Roman"/>
          <w:sz w:val="24"/>
          <w:szCs w:val="24"/>
          <w:lang w:val="en-US"/>
        </w:rPr>
        <w:t>d between 2011 and 2012</w:t>
      </w:r>
      <w:r w:rsidR="00CC7AB1" w:rsidRPr="008210C1">
        <w:rPr>
          <w:rFonts w:ascii="Times New Roman" w:hAnsi="Times New Roman" w:cs="Times New Roman"/>
          <w:sz w:val="24"/>
          <w:szCs w:val="24"/>
          <w:lang w:val="en-US"/>
        </w:rPr>
        <w:t>. This attitude made</w:t>
      </w:r>
      <w:r w:rsidR="009D0401" w:rsidRPr="008210C1">
        <w:rPr>
          <w:rFonts w:ascii="Times New Roman" w:hAnsi="Times New Roman" w:cs="Times New Roman"/>
          <w:sz w:val="24"/>
          <w:szCs w:val="24"/>
          <w:lang w:val="en-US"/>
        </w:rPr>
        <w:t xml:space="preserve"> clear that </w:t>
      </w:r>
      <w:r w:rsidR="00801113" w:rsidRPr="008210C1">
        <w:rPr>
          <w:rFonts w:ascii="Times New Roman" w:hAnsi="Times New Roman" w:cs="Times New Roman"/>
          <w:sz w:val="24"/>
          <w:szCs w:val="24"/>
          <w:lang w:val="en-US"/>
        </w:rPr>
        <w:t>its</w:t>
      </w:r>
      <w:r w:rsidR="009D0401" w:rsidRPr="008210C1">
        <w:rPr>
          <w:rFonts w:ascii="Times New Roman" w:hAnsi="Times New Roman" w:cs="Times New Roman"/>
          <w:sz w:val="24"/>
          <w:szCs w:val="24"/>
          <w:lang w:val="en-US"/>
        </w:rPr>
        <w:t xml:space="preserve"> actions were </w:t>
      </w:r>
      <w:r w:rsidR="009907AF" w:rsidRPr="008210C1">
        <w:rPr>
          <w:rFonts w:ascii="Times New Roman" w:hAnsi="Times New Roman" w:cs="Times New Roman"/>
          <w:sz w:val="24"/>
          <w:szCs w:val="24"/>
          <w:lang w:val="en-US"/>
        </w:rPr>
        <w:t xml:space="preserve">temporary </w:t>
      </w:r>
      <w:r w:rsidR="00801113" w:rsidRPr="008210C1">
        <w:rPr>
          <w:rFonts w:ascii="Times New Roman" w:hAnsi="Times New Roman" w:cs="Times New Roman"/>
          <w:sz w:val="24"/>
          <w:szCs w:val="24"/>
          <w:lang w:val="en-US"/>
        </w:rPr>
        <w:t>and did</w:t>
      </w:r>
      <w:r w:rsidR="009D0401" w:rsidRPr="008210C1">
        <w:rPr>
          <w:rFonts w:ascii="Times New Roman" w:hAnsi="Times New Roman" w:cs="Times New Roman"/>
          <w:sz w:val="24"/>
          <w:szCs w:val="24"/>
          <w:lang w:val="en-US"/>
        </w:rPr>
        <w:t xml:space="preserve"> </w:t>
      </w:r>
      <w:r w:rsidR="00BD6D74" w:rsidRPr="008210C1">
        <w:rPr>
          <w:rFonts w:ascii="Times New Roman" w:hAnsi="Times New Roman" w:cs="Times New Roman"/>
          <w:sz w:val="24"/>
          <w:szCs w:val="24"/>
          <w:lang w:val="en-US"/>
        </w:rPr>
        <w:t>not</w:t>
      </w:r>
      <w:r w:rsidR="009D0401" w:rsidRPr="008210C1">
        <w:rPr>
          <w:rFonts w:ascii="Times New Roman" w:hAnsi="Times New Roman" w:cs="Times New Roman"/>
          <w:sz w:val="24"/>
          <w:szCs w:val="24"/>
          <w:lang w:val="en-US"/>
        </w:rPr>
        <w:t xml:space="preserve"> follow any long-term strategy. </w:t>
      </w:r>
      <w:r w:rsidR="00A22662" w:rsidRPr="008210C1">
        <w:rPr>
          <w:rFonts w:ascii="Times New Roman" w:hAnsi="Times New Roman" w:cs="Times New Roman"/>
          <w:sz w:val="24"/>
          <w:szCs w:val="24"/>
          <w:lang w:val="en-US"/>
        </w:rPr>
        <w:t>F</w:t>
      </w:r>
      <w:r w:rsidR="0002489F" w:rsidRPr="008210C1">
        <w:rPr>
          <w:rFonts w:ascii="Times New Roman" w:hAnsi="Times New Roman" w:cs="Times New Roman"/>
          <w:sz w:val="24"/>
          <w:szCs w:val="24"/>
          <w:lang w:val="en-US"/>
        </w:rPr>
        <w:t>ollowing what was happening in the international front, regulation in Brazil changed too much in a short period of time</w:t>
      </w:r>
      <w:r w:rsidR="00417114" w:rsidRPr="008210C1">
        <w:rPr>
          <w:rFonts w:ascii="Times New Roman" w:hAnsi="Times New Roman" w:cs="Times New Roman"/>
          <w:sz w:val="24"/>
          <w:szCs w:val="24"/>
          <w:lang w:val="en-US"/>
        </w:rPr>
        <w:t>,</w:t>
      </w:r>
      <w:r w:rsidR="0002489F" w:rsidRPr="008210C1">
        <w:rPr>
          <w:rFonts w:ascii="Times New Roman" w:hAnsi="Times New Roman" w:cs="Times New Roman"/>
          <w:sz w:val="24"/>
          <w:szCs w:val="24"/>
          <w:lang w:val="en-US"/>
        </w:rPr>
        <w:t xml:space="preserve"> disturb</w:t>
      </w:r>
      <w:r w:rsidR="00417114" w:rsidRPr="008210C1">
        <w:rPr>
          <w:rFonts w:ascii="Times New Roman" w:hAnsi="Times New Roman" w:cs="Times New Roman"/>
          <w:sz w:val="24"/>
          <w:szCs w:val="24"/>
          <w:lang w:val="en-US"/>
        </w:rPr>
        <w:t>ing</w:t>
      </w:r>
      <w:r w:rsidR="0002489F" w:rsidRPr="008210C1">
        <w:rPr>
          <w:rFonts w:ascii="Times New Roman" w:hAnsi="Times New Roman" w:cs="Times New Roman"/>
          <w:sz w:val="24"/>
          <w:szCs w:val="24"/>
          <w:lang w:val="en-US"/>
        </w:rPr>
        <w:t xml:space="preserve"> what agents expect of the future. In such a case, what should be done to frame good conventions in a</w:t>
      </w:r>
      <w:r w:rsidR="00407F9F" w:rsidRPr="008210C1">
        <w:rPr>
          <w:rFonts w:ascii="Times New Roman" w:hAnsi="Times New Roman" w:cs="Times New Roman"/>
          <w:sz w:val="24"/>
          <w:szCs w:val="24"/>
          <w:lang w:val="en-US"/>
        </w:rPr>
        <w:t>n</w:t>
      </w:r>
      <w:r w:rsidR="0002489F" w:rsidRPr="008210C1">
        <w:rPr>
          <w:rFonts w:ascii="Times New Roman" w:hAnsi="Times New Roman" w:cs="Times New Roman"/>
          <w:sz w:val="24"/>
          <w:szCs w:val="24"/>
          <w:lang w:val="en-US"/>
        </w:rPr>
        <w:t xml:space="preserve"> </w:t>
      </w:r>
      <w:r w:rsidR="00A22662" w:rsidRPr="008210C1">
        <w:rPr>
          <w:rFonts w:ascii="Times New Roman" w:hAnsi="Times New Roman" w:cs="Times New Roman"/>
          <w:sz w:val="24"/>
          <w:szCs w:val="24"/>
          <w:lang w:val="en-US"/>
        </w:rPr>
        <w:lastRenderedPageBreak/>
        <w:t xml:space="preserve">unstable </w:t>
      </w:r>
      <w:r w:rsidR="0002489F" w:rsidRPr="008210C1">
        <w:rPr>
          <w:rFonts w:ascii="Times New Roman" w:hAnsi="Times New Roman" w:cs="Times New Roman"/>
          <w:sz w:val="24"/>
          <w:szCs w:val="24"/>
          <w:lang w:val="en-US"/>
        </w:rPr>
        <w:t>context is not chang</w:t>
      </w:r>
      <w:r w:rsidR="00A22662" w:rsidRPr="008210C1">
        <w:rPr>
          <w:rFonts w:ascii="Times New Roman" w:hAnsi="Times New Roman" w:cs="Times New Roman"/>
          <w:sz w:val="24"/>
          <w:szCs w:val="24"/>
          <w:lang w:val="en-US"/>
        </w:rPr>
        <w:t>ing</w:t>
      </w:r>
      <w:r w:rsidR="0002489F" w:rsidRPr="008210C1">
        <w:rPr>
          <w:rFonts w:ascii="Times New Roman" w:hAnsi="Times New Roman" w:cs="Times New Roman"/>
          <w:sz w:val="24"/>
          <w:szCs w:val="24"/>
          <w:lang w:val="en-US"/>
        </w:rPr>
        <w:t xml:space="preserve"> the measures as fast as the world </w:t>
      </w:r>
      <w:r w:rsidR="00A22662" w:rsidRPr="008210C1">
        <w:rPr>
          <w:rFonts w:ascii="Times New Roman" w:hAnsi="Times New Roman" w:cs="Times New Roman"/>
          <w:sz w:val="24"/>
          <w:szCs w:val="24"/>
          <w:lang w:val="en-US"/>
        </w:rPr>
        <w:t>swings, but making them stable</w:t>
      </w:r>
      <w:r w:rsidR="0002489F" w:rsidRPr="008210C1">
        <w:rPr>
          <w:rFonts w:ascii="Times New Roman" w:hAnsi="Times New Roman" w:cs="Times New Roman"/>
          <w:sz w:val="24"/>
          <w:szCs w:val="24"/>
          <w:lang w:val="en-US"/>
        </w:rPr>
        <w:t xml:space="preserve">. Otherwise, expectations would switch a lot too, making it harder the occurrence of investments. </w:t>
      </w:r>
    </w:p>
    <w:p w:rsidR="009D0401" w:rsidRPr="008210C1" w:rsidRDefault="009D0401"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Notwithstanding the swinging capital controls, the buffer offered by foreign reserves was inflated over 2011-2014: it augmented from US$ 288.575 million in 2010 to US$ 362.551 million in 2014</w:t>
      </w:r>
      <w:r w:rsidR="00090775" w:rsidRPr="008210C1">
        <w:rPr>
          <w:rFonts w:ascii="Times New Roman" w:hAnsi="Times New Roman" w:cs="Times New Roman"/>
          <w:sz w:val="24"/>
          <w:szCs w:val="24"/>
          <w:lang w:val="en-US"/>
        </w:rPr>
        <w:t xml:space="preserve"> (BCB, 2017)</w:t>
      </w:r>
      <w:r w:rsidRPr="008210C1">
        <w:rPr>
          <w:rFonts w:ascii="Times New Roman" w:hAnsi="Times New Roman" w:cs="Times New Roman"/>
          <w:sz w:val="24"/>
          <w:szCs w:val="24"/>
          <w:lang w:val="en-US"/>
        </w:rPr>
        <w:t xml:space="preserve">. Because of the difference </w:t>
      </w:r>
      <w:r w:rsidR="009907AF" w:rsidRPr="008210C1">
        <w:rPr>
          <w:rFonts w:ascii="Times New Roman" w:hAnsi="Times New Roman" w:cs="Times New Roman"/>
          <w:sz w:val="24"/>
          <w:szCs w:val="24"/>
          <w:lang w:val="en-US"/>
        </w:rPr>
        <w:t>between the</w:t>
      </w:r>
      <w:r w:rsidRPr="008210C1">
        <w:rPr>
          <w:rFonts w:ascii="Times New Roman" w:hAnsi="Times New Roman" w:cs="Times New Roman"/>
          <w:sz w:val="24"/>
          <w:szCs w:val="24"/>
          <w:lang w:val="en-US"/>
        </w:rPr>
        <w:t xml:space="preserve"> Brazilian </w:t>
      </w:r>
      <w:r w:rsidR="0002347B" w:rsidRPr="008210C1">
        <w:rPr>
          <w:rFonts w:ascii="Times New Roman" w:hAnsi="Times New Roman" w:cs="Times New Roman"/>
          <w:sz w:val="24"/>
          <w:szCs w:val="24"/>
          <w:lang w:val="en-US"/>
        </w:rPr>
        <w:t>bas</w:t>
      </w:r>
      <w:r w:rsidR="00DE6077" w:rsidRPr="008210C1">
        <w:rPr>
          <w:rFonts w:ascii="Times New Roman" w:hAnsi="Times New Roman" w:cs="Times New Roman"/>
          <w:sz w:val="24"/>
          <w:szCs w:val="24"/>
          <w:lang w:val="en-US"/>
        </w:rPr>
        <w:t xml:space="preserve">e </w:t>
      </w:r>
      <w:r w:rsidRPr="008210C1">
        <w:rPr>
          <w:rFonts w:ascii="Times New Roman" w:hAnsi="Times New Roman" w:cs="Times New Roman"/>
          <w:sz w:val="24"/>
          <w:szCs w:val="24"/>
          <w:lang w:val="en-US"/>
        </w:rPr>
        <w:t>rate</w:t>
      </w:r>
      <w:r w:rsidR="003F1E6C" w:rsidRPr="008210C1">
        <w:rPr>
          <w:rFonts w:ascii="Times New Roman" w:hAnsi="Times New Roman" w:cs="Times New Roman"/>
          <w:sz w:val="24"/>
          <w:szCs w:val="24"/>
          <w:lang w:val="en-US"/>
        </w:rPr>
        <w:t xml:space="preserve">, named </w:t>
      </w:r>
      <w:proofErr w:type="spellStart"/>
      <w:r w:rsidR="003F1E6C" w:rsidRPr="008210C1">
        <w:rPr>
          <w:rFonts w:ascii="Times New Roman" w:hAnsi="Times New Roman" w:cs="Times New Roman"/>
          <w:sz w:val="24"/>
          <w:szCs w:val="24"/>
          <w:lang w:val="en-US"/>
        </w:rPr>
        <w:t>Selic</w:t>
      </w:r>
      <w:proofErr w:type="spellEnd"/>
      <w:r w:rsidR="003F1E6C"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and the world average interest rate, Brazil pay</w:t>
      </w:r>
      <w:r w:rsidR="003C176A" w:rsidRPr="008210C1">
        <w:rPr>
          <w:rFonts w:ascii="Times New Roman" w:hAnsi="Times New Roman" w:cs="Times New Roman"/>
          <w:sz w:val="24"/>
          <w:szCs w:val="24"/>
          <w:lang w:val="en-US"/>
        </w:rPr>
        <w:t>s</w:t>
      </w:r>
      <w:r w:rsidRPr="008210C1">
        <w:rPr>
          <w:rFonts w:ascii="Times New Roman" w:hAnsi="Times New Roman" w:cs="Times New Roman"/>
          <w:sz w:val="24"/>
          <w:szCs w:val="24"/>
          <w:lang w:val="en-US"/>
        </w:rPr>
        <w:t xml:space="preserve"> </w:t>
      </w:r>
      <w:r w:rsidR="009907AF" w:rsidRPr="008210C1">
        <w:rPr>
          <w:rFonts w:ascii="Times New Roman" w:hAnsi="Times New Roman" w:cs="Times New Roman"/>
          <w:sz w:val="24"/>
          <w:szCs w:val="24"/>
          <w:lang w:val="en-US"/>
        </w:rPr>
        <w:t xml:space="preserve">a higher return </w:t>
      </w:r>
      <w:r w:rsidRPr="008210C1">
        <w:rPr>
          <w:rFonts w:ascii="Times New Roman" w:hAnsi="Times New Roman" w:cs="Times New Roman"/>
          <w:sz w:val="24"/>
          <w:szCs w:val="24"/>
          <w:lang w:val="en-US"/>
        </w:rPr>
        <w:t>to buy foreign mone</w:t>
      </w:r>
      <w:r w:rsidR="00E24B5D" w:rsidRPr="008210C1">
        <w:rPr>
          <w:rFonts w:ascii="Times New Roman" w:hAnsi="Times New Roman" w:cs="Times New Roman"/>
          <w:sz w:val="24"/>
          <w:szCs w:val="24"/>
          <w:lang w:val="en-US"/>
        </w:rPr>
        <w:t>y</w:t>
      </w:r>
      <w:r w:rsidR="009907AF"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than it receives by investing its American Dollars in bonds</w:t>
      </w:r>
      <w:r w:rsidR="003C176A" w:rsidRPr="008210C1">
        <w:rPr>
          <w:rFonts w:ascii="Times New Roman" w:hAnsi="Times New Roman" w:cs="Times New Roman"/>
          <w:sz w:val="24"/>
          <w:szCs w:val="24"/>
          <w:lang w:val="en-US"/>
        </w:rPr>
        <w:t xml:space="preserve"> worldwide</w:t>
      </w:r>
      <w:r w:rsidRPr="008210C1">
        <w:rPr>
          <w:rFonts w:ascii="Times New Roman" w:hAnsi="Times New Roman" w:cs="Times New Roman"/>
          <w:sz w:val="24"/>
          <w:szCs w:val="24"/>
          <w:lang w:val="en-US"/>
        </w:rPr>
        <w:t xml:space="preserve">. </w:t>
      </w:r>
      <w:r w:rsidR="003C176A" w:rsidRPr="008210C1">
        <w:rPr>
          <w:rFonts w:ascii="Times New Roman" w:hAnsi="Times New Roman" w:cs="Times New Roman"/>
          <w:sz w:val="24"/>
          <w:szCs w:val="24"/>
          <w:lang w:val="en-US"/>
        </w:rPr>
        <w:t>A</w:t>
      </w:r>
      <w:r w:rsidRPr="008210C1">
        <w:rPr>
          <w:rFonts w:ascii="Times New Roman" w:hAnsi="Times New Roman" w:cs="Times New Roman"/>
          <w:sz w:val="24"/>
          <w:szCs w:val="24"/>
          <w:lang w:val="en-US"/>
        </w:rPr>
        <w:t>s over 2011-2014 the fiscal situation in Brazil got worse</w:t>
      </w:r>
      <w:r w:rsidR="009907AF" w:rsidRPr="008210C1">
        <w:rPr>
          <w:rFonts w:ascii="Times New Roman" w:hAnsi="Times New Roman" w:cs="Times New Roman"/>
          <w:sz w:val="24"/>
          <w:szCs w:val="24"/>
          <w:lang w:val="en-US"/>
        </w:rPr>
        <w:t>. T</w:t>
      </w:r>
      <w:r w:rsidRPr="008210C1">
        <w:rPr>
          <w:rFonts w:ascii="Times New Roman" w:hAnsi="Times New Roman" w:cs="Times New Roman"/>
          <w:sz w:val="24"/>
          <w:szCs w:val="24"/>
          <w:lang w:val="en-US"/>
        </w:rPr>
        <w:t xml:space="preserve">he burden of hoarding foreign money ended up being too heavy for a </w:t>
      </w:r>
      <w:r w:rsidR="003C176A" w:rsidRPr="008210C1">
        <w:rPr>
          <w:rFonts w:ascii="Times New Roman" w:hAnsi="Times New Roman" w:cs="Times New Roman"/>
          <w:sz w:val="24"/>
          <w:szCs w:val="24"/>
          <w:lang w:val="en-US"/>
        </w:rPr>
        <w:t xml:space="preserve">deteriorating </w:t>
      </w:r>
      <w:r w:rsidR="00162D99" w:rsidRPr="008210C1">
        <w:rPr>
          <w:rFonts w:ascii="Times New Roman" w:hAnsi="Times New Roman" w:cs="Times New Roman"/>
          <w:sz w:val="24"/>
          <w:szCs w:val="24"/>
          <w:lang w:val="en-US"/>
        </w:rPr>
        <w:t>FP</w:t>
      </w:r>
      <w:r w:rsidRPr="008210C1">
        <w:rPr>
          <w:rFonts w:ascii="Times New Roman" w:hAnsi="Times New Roman" w:cs="Times New Roman"/>
          <w:sz w:val="24"/>
          <w:szCs w:val="24"/>
          <w:lang w:val="en-US"/>
        </w:rPr>
        <w:t xml:space="preserve">. Agents knew that and their conventions built dishearten expectations </w:t>
      </w:r>
      <w:r w:rsidR="00B61BAE" w:rsidRPr="008210C1">
        <w:rPr>
          <w:rFonts w:ascii="Times New Roman" w:hAnsi="Times New Roman" w:cs="Times New Roman"/>
          <w:sz w:val="24"/>
          <w:szCs w:val="24"/>
          <w:lang w:val="en-US"/>
        </w:rPr>
        <w:t>of</w:t>
      </w:r>
      <w:r w:rsidRPr="008210C1">
        <w:rPr>
          <w:rFonts w:ascii="Times New Roman" w:hAnsi="Times New Roman" w:cs="Times New Roman"/>
          <w:sz w:val="24"/>
          <w:szCs w:val="24"/>
          <w:lang w:val="en-US"/>
        </w:rPr>
        <w:t xml:space="preserve"> what to expect from the match between the exchange rate and fiscal policies in Brazil.</w:t>
      </w:r>
    </w:p>
    <w:p w:rsidR="0002489F" w:rsidRPr="008210C1" w:rsidRDefault="009D0401"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Furthermore, the </w:t>
      </w:r>
      <w:r w:rsidR="007B1487" w:rsidRPr="008210C1">
        <w:rPr>
          <w:rFonts w:ascii="Times New Roman" w:hAnsi="Times New Roman" w:cs="Times New Roman"/>
          <w:sz w:val="24"/>
          <w:szCs w:val="24"/>
          <w:lang w:val="en-US"/>
        </w:rPr>
        <w:t>B</w:t>
      </w:r>
      <w:r w:rsidRPr="008210C1">
        <w:rPr>
          <w:rFonts w:ascii="Times New Roman" w:hAnsi="Times New Roman" w:cs="Times New Roman"/>
          <w:sz w:val="24"/>
          <w:szCs w:val="24"/>
          <w:lang w:val="en-US"/>
        </w:rPr>
        <w:t>CB supply of hedge contracts</w:t>
      </w:r>
      <w:r w:rsidR="009907A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w:t>
      </w:r>
      <w:r w:rsidR="009907AF" w:rsidRPr="008210C1">
        <w:rPr>
          <w:rFonts w:ascii="Times New Roman" w:hAnsi="Times New Roman" w:cs="Times New Roman"/>
          <w:sz w:val="24"/>
          <w:szCs w:val="24"/>
          <w:lang w:val="en-US"/>
        </w:rPr>
        <w:t xml:space="preserve">which had been </w:t>
      </w:r>
      <w:r w:rsidRPr="008210C1">
        <w:rPr>
          <w:rFonts w:ascii="Times New Roman" w:hAnsi="Times New Roman" w:cs="Times New Roman"/>
          <w:sz w:val="24"/>
          <w:szCs w:val="24"/>
          <w:lang w:val="en-US"/>
        </w:rPr>
        <w:t xml:space="preserve">used </w:t>
      </w:r>
      <w:r w:rsidR="00AA75F3" w:rsidRPr="008210C1">
        <w:rPr>
          <w:rFonts w:ascii="Times New Roman" w:hAnsi="Times New Roman" w:cs="Times New Roman"/>
          <w:sz w:val="24"/>
          <w:szCs w:val="24"/>
          <w:lang w:val="en-US"/>
        </w:rPr>
        <w:t xml:space="preserve">in Brazil </w:t>
      </w:r>
      <w:r w:rsidRPr="008210C1">
        <w:rPr>
          <w:rFonts w:ascii="Times New Roman" w:hAnsi="Times New Roman" w:cs="Times New Roman"/>
          <w:sz w:val="24"/>
          <w:szCs w:val="24"/>
          <w:lang w:val="en-US"/>
        </w:rPr>
        <w:t xml:space="preserve">since 1995, </w:t>
      </w:r>
      <w:r w:rsidR="009907AF" w:rsidRPr="008210C1">
        <w:rPr>
          <w:rFonts w:ascii="Times New Roman" w:hAnsi="Times New Roman" w:cs="Times New Roman"/>
          <w:sz w:val="24"/>
          <w:szCs w:val="24"/>
          <w:lang w:val="en-US"/>
        </w:rPr>
        <w:t>was subsequently used</w:t>
      </w:r>
      <w:r w:rsidRPr="008210C1">
        <w:rPr>
          <w:rFonts w:ascii="Times New Roman" w:hAnsi="Times New Roman" w:cs="Times New Roman"/>
          <w:sz w:val="24"/>
          <w:szCs w:val="24"/>
          <w:lang w:val="en-US"/>
        </w:rPr>
        <w:t xml:space="preserve"> in a</w:t>
      </w:r>
      <w:r w:rsidR="00AA75F3" w:rsidRPr="008210C1">
        <w:rPr>
          <w:rFonts w:ascii="Times New Roman" w:hAnsi="Times New Roman" w:cs="Times New Roman"/>
          <w:sz w:val="24"/>
          <w:szCs w:val="24"/>
          <w:lang w:val="en-US"/>
        </w:rPr>
        <w:t xml:space="preserve"> </w:t>
      </w:r>
      <w:r w:rsidR="0002489F" w:rsidRPr="008210C1">
        <w:rPr>
          <w:rFonts w:ascii="Times New Roman" w:hAnsi="Times New Roman" w:cs="Times New Roman"/>
          <w:sz w:val="24"/>
          <w:szCs w:val="24"/>
          <w:lang w:val="en-US"/>
        </w:rPr>
        <w:t xml:space="preserve">larger </w:t>
      </w:r>
      <w:r w:rsidRPr="008210C1">
        <w:rPr>
          <w:rFonts w:ascii="Times New Roman" w:hAnsi="Times New Roman" w:cs="Times New Roman"/>
          <w:sz w:val="24"/>
          <w:szCs w:val="24"/>
          <w:lang w:val="en-US"/>
        </w:rPr>
        <w:t xml:space="preserve">scale after 2011. These contracts were the main method the </w:t>
      </w:r>
      <w:r w:rsidR="00417114" w:rsidRPr="008210C1">
        <w:rPr>
          <w:rFonts w:ascii="Times New Roman" w:hAnsi="Times New Roman" w:cs="Times New Roman"/>
          <w:sz w:val="24"/>
          <w:szCs w:val="24"/>
          <w:lang w:val="en-US"/>
        </w:rPr>
        <w:t>ERP</w:t>
      </w:r>
      <w:r w:rsidR="0002489F" w:rsidRPr="008210C1">
        <w:rPr>
          <w:rFonts w:ascii="Times New Roman" w:hAnsi="Times New Roman" w:cs="Times New Roman"/>
          <w:sz w:val="24"/>
          <w:szCs w:val="24"/>
          <w:lang w:val="en-US"/>
        </w:rPr>
        <w:t xml:space="preserve"> controlled the trend of the national currency in Brazil, aiming at</w:t>
      </w:r>
      <w:r w:rsidRPr="008210C1">
        <w:rPr>
          <w:rFonts w:ascii="Times New Roman" w:hAnsi="Times New Roman" w:cs="Times New Roman"/>
          <w:sz w:val="24"/>
          <w:szCs w:val="24"/>
          <w:lang w:val="en-US"/>
        </w:rPr>
        <w:t xml:space="preserve"> mildly devaluat</w:t>
      </w:r>
      <w:r w:rsidR="0002489F" w:rsidRPr="008210C1">
        <w:rPr>
          <w:rFonts w:ascii="Times New Roman" w:hAnsi="Times New Roman" w:cs="Times New Roman"/>
          <w:sz w:val="24"/>
          <w:szCs w:val="24"/>
          <w:lang w:val="en-US"/>
        </w:rPr>
        <w:t>ing</w:t>
      </w:r>
      <w:r w:rsidRPr="008210C1">
        <w:rPr>
          <w:rFonts w:ascii="Times New Roman" w:hAnsi="Times New Roman" w:cs="Times New Roman"/>
          <w:sz w:val="24"/>
          <w:szCs w:val="24"/>
          <w:lang w:val="en-US"/>
        </w:rPr>
        <w:t xml:space="preserve"> </w:t>
      </w:r>
      <w:r w:rsidR="0002489F" w:rsidRPr="008210C1">
        <w:rPr>
          <w:rFonts w:ascii="Times New Roman" w:hAnsi="Times New Roman" w:cs="Times New Roman"/>
          <w:sz w:val="24"/>
          <w:szCs w:val="24"/>
          <w:lang w:val="en-US"/>
        </w:rPr>
        <w:t>it</w:t>
      </w:r>
      <w:r w:rsidRPr="008210C1">
        <w:rPr>
          <w:rFonts w:ascii="Times New Roman" w:hAnsi="Times New Roman" w:cs="Times New Roman"/>
          <w:sz w:val="24"/>
          <w:szCs w:val="24"/>
          <w:lang w:val="en-US"/>
        </w:rPr>
        <w:t>.</w:t>
      </w:r>
      <w:r w:rsidR="00D40A64" w:rsidRPr="008210C1">
        <w:rPr>
          <w:rStyle w:val="Refdenotaderodap"/>
          <w:rFonts w:ascii="Times New Roman" w:hAnsi="Times New Roman" w:cs="Times New Roman"/>
          <w:sz w:val="24"/>
          <w:szCs w:val="24"/>
          <w:lang w:val="en-US"/>
        </w:rPr>
        <w:footnoteReference w:id="10"/>
      </w:r>
      <w:r w:rsidRPr="008210C1">
        <w:rPr>
          <w:rFonts w:ascii="Times New Roman" w:hAnsi="Times New Roman" w:cs="Times New Roman"/>
          <w:sz w:val="24"/>
          <w:szCs w:val="24"/>
          <w:lang w:val="en-US"/>
        </w:rPr>
        <w:t xml:space="preserve"> The </w:t>
      </w:r>
      <w:r w:rsidR="007B1487" w:rsidRPr="008210C1">
        <w:rPr>
          <w:rFonts w:ascii="Times New Roman" w:hAnsi="Times New Roman" w:cs="Times New Roman"/>
          <w:sz w:val="24"/>
          <w:szCs w:val="24"/>
          <w:lang w:val="en-US"/>
        </w:rPr>
        <w:t>B</w:t>
      </w:r>
      <w:r w:rsidRPr="008210C1">
        <w:rPr>
          <w:rFonts w:ascii="Times New Roman" w:hAnsi="Times New Roman" w:cs="Times New Roman"/>
          <w:sz w:val="24"/>
          <w:szCs w:val="24"/>
          <w:lang w:val="en-US"/>
        </w:rPr>
        <w:t>CB sold short-term contrac</w:t>
      </w:r>
      <w:r w:rsidR="00AE323D" w:rsidRPr="008210C1">
        <w:rPr>
          <w:rFonts w:ascii="Times New Roman" w:hAnsi="Times New Roman" w:cs="Times New Roman"/>
          <w:sz w:val="24"/>
          <w:szCs w:val="24"/>
          <w:lang w:val="en-US"/>
        </w:rPr>
        <w:t>ts</w:t>
      </w:r>
      <w:r w:rsidR="0002489F" w:rsidRPr="008210C1">
        <w:rPr>
          <w:rFonts w:ascii="Times New Roman" w:hAnsi="Times New Roman" w:cs="Times New Roman"/>
          <w:sz w:val="24"/>
          <w:szCs w:val="24"/>
          <w:lang w:val="en-US"/>
        </w:rPr>
        <w:t xml:space="preserve"> hedging </w:t>
      </w:r>
      <w:r w:rsidR="00AE323D" w:rsidRPr="008210C1">
        <w:rPr>
          <w:rFonts w:ascii="Times New Roman" w:hAnsi="Times New Roman" w:cs="Times New Roman"/>
          <w:sz w:val="24"/>
          <w:szCs w:val="24"/>
          <w:lang w:val="en-US"/>
        </w:rPr>
        <w:t xml:space="preserve">the agents </w:t>
      </w:r>
      <w:r w:rsidR="0002489F" w:rsidRPr="008210C1">
        <w:rPr>
          <w:rFonts w:ascii="Times New Roman" w:hAnsi="Times New Roman" w:cs="Times New Roman"/>
          <w:sz w:val="24"/>
          <w:szCs w:val="24"/>
          <w:lang w:val="en-US"/>
        </w:rPr>
        <w:t xml:space="preserve">against exchange rate losses. Furthermore, with this operation, the BCB eased agents’ expectations </w:t>
      </w:r>
      <w:r w:rsidR="008D3158" w:rsidRPr="008210C1">
        <w:rPr>
          <w:rFonts w:ascii="Times New Roman" w:hAnsi="Times New Roman" w:cs="Times New Roman"/>
          <w:sz w:val="24"/>
          <w:szCs w:val="24"/>
          <w:lang w:val="en-US"/>
        </w:rPr>
        <w:t xml:space="preserve">of variations on the value of the national currency so that it could </w:t>
      </w:r>
      <w:r w:rsidR="00D40A64" w:rsidRPr="008210C1">
        <w:rPr>
          <w:rFonts w:ascii="Times New Roman" w:hAnsi="Times New Roman" w:cs="Times New Roman"/>
          <w:sz w:val="24"/>
          <w:szCs w:val="24"/>
          <w:lang w:val="en-US"/>
        </w:rPr>
        <w:t>manage</w:t>
      </w:r>
      <w:r w:rsidR="008D3158" w:rsidRPr="008210C1">
        <w:rPr>
          <w:rFonts w:ascii="Times New Roman" w:hAnsi="Times New Roman" w:cs="Times New Roman"/>
          <w:sz w:val="24"/>
          <w:szCs w:val="24"/>
          <w:lang w:val="en-US"/>
        </w:rPr>
        <w:t xml:space="preserve"> </w:t>
      </w:r>
      <w:r w:rsidR="00FA170F" w:rsidRPr="008210C1">
        <w:rPr>
          <w:rFonts w:ascii="Times New Roman" w:hAnsi="Times New Roman" w:cs="Times New Roman"/>
          <w:sz w:val="24"/>
          <w:szCs w:val="24"/>
          <w:lang w:val="en-US"/>
        </w:rPr>
        <w:t xml:space="preserve">a smoother </w:t>
      </w:r>
      <w:r w:rsidR="008D3158" w:rsidRPr="008210C1">
        <w:rPr>
          <w:rFonts w:ascii="Times New Roman" w:hAnsi="Times New Roman" w:cs="Times New Roman"/>
          <w:sz w:val="24"/>
          <w:szCs w:val="24"/>
          <w:lang w:val="en-US"/>
        </w:rPr>
        <w:t>exchange rate</w:t>
      </w:r>
      <w:r w:rsidR="00FA170F" w:rsidRPr="008210C1">
        <w:rPr>
          <w:rFonts w:ascii="Times New Roman" w:hAnsi="Times New Roman" w:cs="Times New Roman"/>
          <w:sz w:val="24"/>
          <w:szCs w:val="24"/>
          <w:lang w:val="en-US"/>
        </w:rPr>
        <w:t>.</w:t>
      </w:r>
      <w:r w:rsidR="00D40A64" w:rsidRPr="008210C1">
        <w:rPr>
          <w:rFonts w:ascii="Times New Roman" w:hAnsi="Times New Roman" w:cs="Times New Roman"/>
          <w:sz w:val="24"/>
          <w:szCs w:val="24"/>
          <w:lang w:val="en-US"/>
        </w:rPr>
        <w:t xml:space="preserve"> </w:t>
      </w:r>
      <w:r w:rsidR="008D3158" w:rsidRPr="008210C1">
        <w:rPr>
          <w:rFonts w:ascii="Times New Roman" w:hAnsi="Times New Roman" w:cs="Times New Roman"/>
          <w:sz w:val="24"/>
          <w:szCs w:val="24"/>
          <w:lang w:val="en-US"/>
        </w:rPr>
        <w:t xml:space="preserve"> </w:t>
      </w:r>
    </w:p>
    <w:p w:rsidR="009D0401" w:rsidRPr="008210C1" w:rsidRDefault="00D40A64"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Yet, a</w:t>
      </w:r>
      <w:r w:rsidR="009D0401" w:rsidRPr="008210C1">
        <w:rPr>
          <w:rFonts w:ascii="Times New Roman" w:hAnsi="Times New Roman" w:cs="Times New Roman"/>
          <w:sz w:val="24"/>
          <w:szCs w:val="24"/>
          <w:lang w:val="en-US"/>
        </w:rPr>
        <w:t xml:space="preserve">s the intention of the </w:t>
      </w:r>
      <w:r w:rsidR="007B1487" w:rsidRPr="008210C1">
        <w:rPr>
          <w:rFonts w:ascii="Times New Roman" w:hAnsi="Times New Roman" w:cs="Times New Roman"/>
          <w:sz w:val="24"/>
          <w:szCs w:val="24"/>
          <w:lang w:val="en-US"/>
        </w:rPr>
        <w:t>B</w:t>
      </w:r>
      <w:r w:rsidR="009D0401" w:rsidRPr="008210C1">
        <w:rPr>
          <w:rFonts w:ascii="Times New Roman" w:hAnsi="Times New Roman" w:cs="Times New Roman"/>
          <w:sz w:val="24"/>
          <w:szCs w:val="24"/>
          <w:lang w:val="en-US"/>
        </w:rPr>
        <w:t xml:space="preserve">CB is to protect the agents against </w:t>
      </w:r>
      <w:r w:rsidR="00CC7AB1" w:rsidRPr="008210C1">
        <w:rPr>
          <w:rFonts w:ascii="Times New Roman" w:hAnsi="Times New Roman" w:cs="Times New Roman"/>
          <w:sz w:val="24"/>
          <w:szCs w:val="24"/>
          <w:lang w:val="en-US"/>
        </w:rPr>
        <w:t>currency</w:t>
      </w:r>
      <w:r w:rsidR="009D0401" w:rsidRPr="008210C1">
        <w:rPr>
          <w:rFonts w:ascii="Times New Roman" w:hAnsi="Times New Roman" w:cs="Times New Roman"/>
          <w:sz w:val="24"/>
          <w:szCs w:val="24"/>
          <w:lang w:val="en-US"/>
        </w:rPr>
        <w:t xml:space="preserve"> devaluations, whenever </w:t>
      </w:r>
      <w:r w:rsidR="00EB3B1B" w:rsidRPr="008210C1">
        <w:rPr>
          <w:rFonts w:ascii="Times New Roman" w:hAnsi="Times New Roman" w:cs="Times New Roman"/>
          <w:sz w:val="24"/>
          <w:szCs w:val="24"/>
          <w:lang w:val="en-US"/>
        </w:rPr>
        <w:t>it</w:t>
      </w:r>
      <w:r w:rsidR="009D0401" w:rsidRPr="008210C1">
        <w:rPr>
          <w:rFonts w:ascii="Times New Roman" w:hAnsi="Times New Roman" w:cs="Times New Roman"/>
          <w:sz w:val="24"/>
          <w:szCs w:val="24"/>
          <w:lang w:val="en-US"/>
        </w:rPr>
        <w:t xml:space="preserve"> happens</w:t>
      </w:r>
      <w:r w:rsidR="00EB3B1B" w:rsidRPr="008210C1">
        <w:rPr>
          <w:rFonts w:ascii="Times New Roman" w:hAnsi="Times New Roman" w:cs="Times New Roman"/>
          <w:sz w:val="24"/>
          <w:szCs w:val="24"/>
          <w:lang w:val="en-US"/>
        </w:rPr>
        <w:t>,</w:t>
      </w:r>
      <w:r w:rsidR="009D0401" w:rsidRPr="008210C1">
        <w:rPr>
          <w:rFonts w:ascii="Times New Roman" w:hAnsi="Times New Roman" w:cs="Times New Roman"/>
          <w:sz w:val="24"/>
          <w:szCs w:val="24"/>
          <w:lang w:val="en-US"/>
        </w:rPr>
        <w:t xml:space="preserve"> </w:t>
      </w:r>
      <w:r w:rsidR="007B1487" w:rsidRPr="008210C1">
        <w:rPr>
          <w:rFonts w:ascii="Times New Roman" w:hAnsi="Times New Roman" w:cs="Times New Roman"/>
          <w:sz w:val="24"/>
          <w:szCs w:val="24"/>
          <w:lang w:val="en-US"/>
        </w:rPr>
        <w:t>B</w:t>
      </w:r>
      <w:r w:rsidR="00EB3B1B" w:rsidRPr="008210C1">
        <w:rPr>
          <w:rFonts w:ascii="Times New Roman" w:hAnsi="Times New Roman" w:cs="Times New Roman"/>
          <w:sz w:val="24"/>
          <w:szCs w:val="24"/>
          <w:lang w:val="en-US"/>
        </w:rPr>
        <w:t>CB</w:t>
      </w:r>
      <w:r w:rsidR="009D0401" w:rsidRPr="008210C1">
        <w:rPr>
          <w:rFonts w:ascii="Times New Roman" w:hAnsi="Times New Roman" w:cs="Times New Roman"/>
          <w:sz w:val="24"/>
          <w:szCs w:val="24"/>
          <w:lang w:val="en-US"/>
        </w:rPr>
        <w:t xml:space="preserve"> affords it. As the </w:t>
      </w:r>
      <w:r w:rsidR="00F740D8" w:rsidRPr="008210C1">
        <w:rPr>
          <w:rFonts w:ascii="Times New Roman" w:hAnsi="Times New Roman" w:cs="Times New Roman"/>
          <w:sz w:val="24"/>
          <w:szCs w:val="24"/>
          <w:lang w:val="en-US"/>
        </w:rPr>
        <w:t xml:space="preserve">nominal </w:t>
      </w:r>
      <w:r w:rsidR="009D0401" w:rsidRPr="008210C1">
        <w:rPr>
          <w:rFonts w:ascii="Times New Roman" w:hAnsi="Times New Roman" w:cs="Times New Roman"/>
          <w:sz w:val="24"/>
          <w:szCs w:val="24"/>
          <w:lang w:val="en-US"/>
        </w:rPr>
        <w:t xml:space="preserve">exchange rate </w:t>
      </w:r>
      <w:r w:rsidR="00D84E0C" w:rsidRPr="008210C1">
        <w:rPr>
          <w:rFonts w:ascii="Times New Roman" w:hAnsi="Times New Roman" w:cs="Times New Roman"/>
          <w:sz w:val="24"/>
          <w:szCs w:val="24"/>
          <w:lang w:val="en-US"/>
        </w:rPr>
        <w:t>fell</w:t>
      </w:r>
      <w:r w:rsidR="00CC7AB1" w:rsidRPr="008210C1">
        <w:rPr>
          <w:rFonts w:ascii="Times New Roman" w:hAnsi="Times New Roman" w:cs="Times New Roman"/>
          <w:sz w:val="24"/>
          <w:szCs w:val="24"/>
          <w:lang w:val="en-US"/>
        </w:rPr>
        <w:t xml:space="preserve"> </w:t>
      </w:r>
      <w:r w:rsidR="009D0401" w:rsidRPr="008210C1">
        <w:rPr>
          <w:rFonts w:ascii="Times New Roman" w:hAnsi="Times New Roman" w:cs="Times New Roman"/>
          <w:sz w:val="24"/>
          <w:szCs w:val="24"/>
          <w:lang w:val="en-US"/>
        </w:rPr>
        <w:t>34% over 2011-2014</w:t>
      </w:r>
      <w:r w:rsidR="00EB3B1B" w:rsidRPr="008210C1">
        <w:rPr>
          <w:rFonts w:ascii="Times New Roman" w:hAnsi="Times New Roman" w:cs="Times New Roman"/>
          <w:sz w:val="24"/>
          <w:szCs w:val="24"/>
          <w:lang w:val="en-US"/>
        </w:rPr>
        <w:t>,</w:t>
      </w:r>
      <w:r w:rsidR="009D0401" w:rsidRPr="008210C1">
        <w:rPr>
          <w:rFonts w:ascii="Times New Roman" w:hAnsi="Times New Roman" w:cs="Times New Roman"/>
          <w:sz w:val="24"/>
          <w:szCs w:val="24"/>
          <w:lang w:val="en-US"/>
        </w:rPr>
        <w:t xml:space="preserve"> the </w:t>
      </w:r>
      <w:r w:rsidR="007B1487" w:rsidRPr="008210C1">
        <w:rPr>
          <w:rFonts w:ascii="Times New Roman" w:hAnsi="Times New Roman" w:cs="Times New Roman"/>
          <w:sz w:val="24"/>
          <w:szCs w:val="24"/>
          <w:lang w:val="en-US"/>
        </w:rPr>
        <w:t>B</w:t>
      </w:r>
      <w:r w:rsidR="009D0401" w:rsidRPr="008210C1">
        <w:rPr>
          <w:rFonts w:ascii="Times New Roman" w:hAnsi="Times New Roman" w:cs="Times New Roman"/>
          <w:sz w:val="24"/>
          <w:szCs w:val="24"/>
          <w:lang w:val="en-US"/>
        </w:rPr>
        <w:t xml:space="preserve">CB had costs </w:t>
      </w:r>
      <w:r w:rsidR="009907AF" w:rsidRPr="008210C1">
        <w:rPr>
          <w:rFonts w:ascii="Times New Roman" w:hAnsi="Times New Roman" w:cs="Times New Roman"/>
          <w:sz w:val="24"/>
          <w:szCs w:val="24"/>
          <w:lang w:val="en-US"/>
        </w:rPr>
        <w:t xml:space="preserve">with </w:t>
      </w:r>
      <w:r w:rsidR="009D0401" w:rsidRPr="008210C1">
        <w:rPr>
          <w:rFonts w:ascii="Times New Roman" w:hAnsi="Times New Roman" w:cs="Times New Roman"/>
          <w:sz w:val="24"/>
          <w:szCs w:val="24"/>
          <w:lang w:val="en-US"/>
        </w:rPr>
        <w:t>th</w:t>
      </w:r>
      <w:r w:rsidR="009907AF" w:rsidRPr="008210C1">
        <w:rPr>
          <w:rFonts w:ascii="Times New Roman" w:hAnsi="Times New Roman" w:cs="Times New Roman"/>
          <w:sz w:val="24"/>
          <w:szCs w:val="24"/>
          <w:lang w:val="en-US"/>
        </w:rPr>
        <w:t xml:space="preserve">at </w:t>
      </w:r>
      <w:r w:rsidR="009D0401" w:rsidRPr="008210C1">
        <w:rPr>
          <w:rFonts w:ascii="Times New Roman" w:hAnsi="Times New Roman" w:cs="Times New Roman"/>
          <w:sz w:val="24"/>
          <w:szCs w:val="24"/>
          <w:lang w:val="en-US"/>
        </w:rPr>
        <w:t xml:space="preserve">policy. Still, the fast elevation of the amount of exchange rate swaps contracts was another issue. </w:t>
      </w:r>
      <w:proofErr w:type="spellStart"/>
      <w:r w:rsidR="009D0401" w:rsidRPr="008210C1">
        <w:rPr>
          <w:rFonts w:ascii="Times New Roman" w:hAnsi="Times New Roman" w:cs="Times New Roman"/>
          <w:sz w:val="24"/>
          <w:szCs w:val="24"/>
          <w:lang w:val="en-US"/>
        </w:rPr>
        <w:t>Arestis</w:t>
      </w:r>
      <w:proofErr w:type="spellEnd"/>
      <w:r w:rsidR="009D0401" w:rsidRPr="008210C1">
        <w:rPr>
          <w:rFonts w:ascii="Times New Roman" w:hAnsi="Times New Roman" w:cs="Times New Roman"/>
          <w:sz w:val="24"/>
          <w:szCs w:val="24"/>
          <w:lang w:val="en-US"/>
        </w:rPr>
        <w:t xml:space="preserve"> and Terra (2015) report that Brazilian government had almost US$ 100 billion in this sort of liabilities in 2014, </w:t>
      </w:r>
      <w:r w:rsidR="00EB3B1B" w:rsidRPr="008210C1">
        <w:rPr>
          <w:rFonts w:ascii="Times New Roman" w:hAnsi="Times New Roman" w:cs="Times New Roman"/>
          <w:sz w:val="24"/>
          <w:szCs w:val="24"/>
          <w:lang w:val="en-US"/>
        </w:rPr>
        <w:t>nearly</w:t>
      </w:r>
      <w:r w:rsidR="005A42E7" w:rsidRPr="008210C1">
        <w:rPr>
          <w:rFonts w:ascii="Times New Roman" w:hAnsi="Times New Roman" w:cs="Times New Roman"/>
          <w:sz w:val="24"/>
          <w:szCs w:val="24"/>
          <w:lang w:val="en-US"/>
        </w:rPr>
        <w:t xml:space="preserve"> </w:t>
      </w:r>
      <w:r w:rsidR="009D0401" w:rsidRPr="008210C1">
        <w:rPr>
          <w:rFonts w:ascii="Times New Roman" w:hAnsi="Times New Roman" w:cs="Times New Roman"/>
          <w:sz w:val="24"/>
          <w:szCs w:val="24"/>
          <w:lang w:val="en-US"/>
        </w:rPr>
        <w:t>one third of the country’s foreign reserves.</w:t>
      </w:r>
      <w:r w:rsidRPr="008210C1">
        <w:rPr>
          <w:rStyle w:val="Refdenotaderodap"/>
          <w:rFonts w:ascii="Times New Roman" w:hAnsi="Times New Roman" w:cs="Times New Roman"/>
          <w:sz w:val="24"/>
          <w:szCs w:val="24"/>
          <w:lang w:val="en-US"/>
        </w:rPr>
        <w:footnoteReference w:id="11"/>
      </w:r>
      <w:r w:rsidR="009D0401" w:rsidRPr="008210C1">
        <w:rPr>
          <w:rFonts w:ascii="Times New Roman" w:hAnsi="Times New Roman" w:cs="Times New Roman"/>
          <w:sz w:val="24"/>
          <w:szCs w:val="24"/>
          <w:lang w:val="en-US"/>
        </w:rPr>
        <w:t xml:space="preserve"> The bulk of liabilities </w:t>
      </w:r>
      <w:r w:rsidR="009907AF" w:rsidRPr="008210C1">
        <w:rPr>
          <w:rFonts w:ascii="Times New Roman" w:hAnsi="Times New Roman" w:cs="Times New Roman"/>
          <w:sz w:val="24"/>
          <w:szCs w:val="24"/>
          <w:lang w:val="en-US"/>
        </w:rPr>
        <w:t xml:space="preserve">was </w:t>
      </w:r>
      <w:r w:rsidR="009D0401" w:rsidRPr="008210C1">
        <w:rPr>
          <w:rFonts w:ascii="Times New Roman" w:hAnsi="Times New Roman" w:cs="Times New Roman"/>
          <w:sz w:val="24"/>
          <w:szCs w:val="24"/>
          <w:lang w:val="en-US"/>
        </w:rPr>
        <w:t xml:space="preserve">raised up to a significant portion of the </w:t>
      </w:r>
      <w:r w:rsidR="009907AF" w:rsidRPr="008210C1">
        <w:rPr>
          <w:rFonts w:ascii="Times New Roman" w:hAnsi="Times New Roman" w:cs="Times New Roman"/>
          <w:sz w:val="24"/>
          <w:szCs w:val="24"/>
          <w:lang w:val="en-US"/>
        </w:rPr>
        <w:t xml:space="preserve">Brazilian </w:t>
      </w:r>
      <w:r w:rsidR="009D0401" w:rsidRPr="008210C1">
        <w:rPr>
          <w:rFonts w:ascii="Times New Roman" w:hAnsi="Times New Roman" w:cs="Times New Roman"/>
          <w:sz w:val="24"/>
          <w:szCs w:val="24"/>
          <w:lang w:val="en-US"/>
        </w:rPr>
        <w:t>assets</w:t>
      </w:r>
      <w:r w:rsidR="009907AF" w:rsidRPr="008210C1">
        <w:rPr>
          <w:rFonts w:ascii="Times New Roman" w:hAnsi="Times New Roman" w:cs="Times New Roman"/>
          <w:sz w:val="24"/>
          <w:szCs w:val="24"/>
          <w:lang w:val="en-US"/>
        </w:rPr>
        <w:t xml:space="preserve">, </w:t>
      </w:r>
      <w:r w:rsidR="009D0401" w:rsidRPr="008210C1">
        <w:rPr>
          <w:rFonts w:ascii="Times New Roman" w:hAnsi="Times New Roman" w:cs="Times New Roman"/>
          <w:sz w:val="24"/>
          <w:szCs w:val="24"/>
          <w:lang w:val="en-US"/>
        </w:rPr>
        <w:t xml:space="preserve">and once again what would be a good figure to agents’ confidence, started </w:t>
      </w:r>
      <w:r w:rsidR="00EB3B1B" w:rsidRPr="008210C1">
        <w:rPr>
          <w:rFonts w:ascii="Times New Roman" w:hAnsi="Times New Roman" w:cs="Times New Roman"/>
          <w:sz w:val="24"/>
          <w:szCs w:val="24"/>
          <w:lang w:val="en-US"/>
        </w:rPr>
        <w:t>being</w:t>
      </w:r>
      <w:r w:rsidR="009D0401" w:rsidRPr="008210C1">
        <w:rPr>
          <w:rFonts w:ascii="Times New Roman" w:hAnsi="Times New Roman" w:cs="Times New Roman"/>
          <w:sz w:val="24"/>
          <w:szCs w:val="24"/>
          <w:lang w:val="en-US"/>
        </w:rPr>
        <w:t xml:space="preserve"> a misleading and costly </w:t>
      </w:r>
      <w:r w:rsidR="009907AF" w:rsidRPr="008210C1">
        <w:rPr>
          <w:rFonts w:ascii="Times New Roman" w:hAnsi="Times New Roman" w:cs="Times New Roman"/>
          <w:sz w:val="24"/>
          <w:szCs w:val="24"/>
          <w:lang w:val="en-US"/>
        </w:rPr>
        <w:t>to</w:t>
      </w:r>
      <w:r w:rsidR="009D0401" w:rsidRPr="008210C1">
        <w:rPr>
          <w:rFonts w:ascii="Times New Roman" w:hAnsi="Times New Roman" w:cs="Times New Roman"/>
          <w:sz w:val="24"/>
          <w:szCs w:val="24"/>
          <w:lang w:val="en-US"/>
        </w:rPr>
        <w:t xml:space="preserve"> the economic policy.</w:t>
      </w:r>
    </w:p>
    <w:p w:rsidR="00613B25" w:rsidRPr="008210C1" w:rsidRDefault="00613B25" w:rsidP="008210C1">
      <w:pPr>
        <w:pStyle w:val="Commarcadores"/>
        <w:numPr>
          <w:ilvl w:val="0"/>
          <w:numId w:val="0"/>
        </w:numPr>
        <w:spacing w:after="0" w:line="240" w:lineRule="auto"/>
        <w:ind w:firstLine="709"/>
        <w:jc w:val="both"/>
        <w:rPr>
          <w:rFonts w:ascii="Times New Roman" w:hAnsi="Times New Roman" w:cs="Times New Roman"/>
          <w:sz w:val="24"/>
          <w:szCs w:val="24"/>
          <w:lang w:val="en-GB"/>
        </w:rPr>
      </w:pPr>
      <w:r w:rsidRPr="008210C1">
        <w:rPr>
          <w:rFonts w:ascii="Times New Roman" w:hAnsi="Times New Roman" w:cs="Times New Roman"/>
          <w:sz w:val="24"/>
          <w:szCs w:val="24"/>
          <w:lang w:val="en-GB"/>
        </w:rPr>
        <w:t xml:space="preserve">In short, </w:t>
      </w:r>
      <w:r w:rsidRPr="008210C1">
        <w:rPr>
          <w:rFonts w:ascii="Times New Roman" w:hAnsi="Times New Roman" w:cs="Times New Roman"/>
          <w:sz w:val="24"/>
          <w:szCs w:val="24"/>
          <w:lang w:val="en-US"/>
        </w:rPr>
        <w:t xml:space="preserve">the </w:t>
      </w:r>
      <w:r w:rsidR="009E78C7" w:rsidRPr="008210C1">
        <w:rPr>
          <w:rFonts w:ascii="Times New Roman" w:hAnsi="Times New Roman" w:cs="Times New Roman"/>
          <w:sz w:val="24"/>
          <w:szCs w:val="24"/>
          <w:lang w:val="en-US"/>
        </w:rPr>
        <w:t xml:space="preserve">credit, </w:t>
      </w:r>
      <w:r w:rsidRPr="008210C1">
        <w:rPr>
          <w:rFonts w:ascii="Times New Roman" w:eastAsia="Times New Roman" w:hAnsi="Times New Roman" w:cs="Times New Roman"/>
          <w:sz w:val="24"/>
          <w:szCs w:val="24"/>
          <w:lang w:val="en-US" w:eastAsia="pt-BR"/>
        </w:rPr>
        <w:t>social and wage policies</w:t>
      </w:r>
      <w:r w:rsidR="00D35D66" w:rsidRPr="008210C1">
        <w:rPr>
          <w:rFonts w:ascii="Times New Roman" w:eastAsia="Times New Roman" w:hAnsi="Times New Roman" w:cs="Times New Roman"/>
          <w:sz w:val="24"/>
          <w:szCs w:val="24"/>
          <w:lang w:val="en-US" w:eastAsia="pt-BR"/>
        </w:rPr>
        <w:t xml:space="preserve"> together with </w:t>
      </w:r>
      <w:r w:rsidR="0008032B" w:rsidRPr="008210C1">
        <w:rPr>
          <w:rFonts w:ascii="Times New Roman" w:eastAsia="Times New Roman" w:hAnsi="Times New Roman" w:cs="Times New Roman"/>
          <w:sz w:val="24"/>
          <w:szCs w:val="24"/>
          <w:lang w:val="en-US" w:eastAsia="pt-BR"/>
        </w:rPr>
        <w:t xml:space="preserve">exports </w:t>
      </w:r>
      <w:r w:rsidRPr="008210C1">
        <w:rPr>
          <w:rFonts w:ascii="Times New Roman" w:eastAsia="Times New Roman" w:hAnsi="Times New Roman" w:cs="Times New Roman"/>
          <w:sz w:val="24"/>
          <w:szCs w:val="24"/>
          <w:lang w:val="en-US" w:eastAsia="pt-BR"/>
        </w:rPr>
        <w:t>boost</w:t>
      </w:r>
      <w:r w:rsidR="000179D3" w:rsidRPr="008210C1">
        <w:rPr>
          <w:rFonts w:ascii="Times New Roman" w:eastAsia="Times New Roman" w:hAnsi="Times New Roman" w:cs="Times New Roman"/>
          <w:sz w:val="24"/>
          <w:szCs w:val="24"/>
          <w:lang w:val="en-US" w:eastAsia="pt-BR"/>
        </w:rPr>
        <w:t>ed</w:t>
      </w:r>
      <w:r w:rsidRPr="008210C1">
        <w:rPr>
          <w:rFonts w:ascii="Times New Roman" w:eastAsia="Times New Roman" w:hAnsi="Times New Roman" w:cs="Times New Roman"/>
          <w:sz w:val="24"/>
          <w:szCs w:val="24"/>
          <w:lang w:val="en-US" w:eastAsia="pt-BR"/>
        </w:rPr>
        <w:t xml:space="preserve"> </w:t>
      </w:r>
      <w:r w:rsidR="000179D3" w:rsidRPr="008210C1">
        <w:rPr>
          <w:rFonts w:ascii="Times New Roman" w:eastAsia="Times New Roman" w:hAnsi="Times New Roman" w:cs="Times New Roman"/>
          <w:sz w:val="24"/>
          <w:szCs w:val="24"/>
          <w:lang w:val="en-US" w:eastAsia="pt-BR"/>
        </w:rPr>
        <w:t>the Brazilian</w:t>
      </w:r>
      <w:r w:rsidRPr="008210C1">
        <w:rPr>
          <w:rFonts w:ascii="Times New Roman" w:eastAsia="Times New Roman" w:hAnsi="Times New Roman" w:cs="Times New Roman"/>
          <w:sz w:val="24"/>
          <w:szCs w:val="24"/>
          <w:lang w:val="en-US" w:eastAsia="pt-BR"/>
        </w:rPr>
        <w:t xml:space="preserve"> growth, but the </w:t>
      </w:r>
      <w:r w:rsidR="00D84E0C" w:rsidRPr="008210C1">
        <w:rPr>
          <w:rFonts w:ascii="Times New Roman" w:eastAsia="Times New Roman" w:hAnsi="Times New Roman" w:cs="Times New Roman"/>
          <w:sz w:val="24"/>
          <w:szCs w:val="24"/>
          <w:lang w:val="en-US" w:eastAsia="pt-BR"/>
        </w:rPr>
        <w:t>ERP</w:t>
      </w:r>
      <w:r w:rsidR="000179D3" w:rsidRPr="008210C1">
        <w:rPr>
          <w:rFonts w:ascii="Times New Roman" w:eastAsia="Times New Roman" w:hAnsi="Times New Roman" w:cs="Times New Roman"/>
          <w:sz w:val="24"/>
          <w:szCs w:val="24"/>
          <w:lang w:val="en-US" w:eastAsia="pt-BR"/>
        </w:rPr>
        <w:t xml:space="preserve"> maintained an</w:t>
      </w:r>
      <w:r w:rsidR="00BB6AF4" w:rsidRPr="008210C1">
        <w:rPr>
          <w:rFonts w:ascii="Times New Roman" w:eastAsia="Times New Roman" w:hAnsi="Times New Roman" w:cs="Times New Roman"/>
          <w:sz w:val="24"/>
          <w:szCs w:val="24"/>
          <w:lang w:val="en-US" w:eastAsia="pt-BR"/>
        </w:rPr>
        <w:t xml:space="preserve"> overvalued </w:t>
      </w:r>
      <w:r w:rsidR="00CC7AB1" w:rsidRPr="008210C1">
        <w:rPr>
          <w:rFonts w:ascii="Times New Roman" w:eastAsia="Times New Roman" w:hAnsi="Times New Roman" w:cs="Times New Roman"/>
          <w:sz w:val="24"/>
          <w:szCs w:val="24"/>
          <w:lang w:val="en-US" w:eastAsia="pt-BR"/>
        </w:rPr>
        <w:t>currency</w:t>
      </w:r>
      <w:r w:rsidR="00BB6AF4" w:rsidRPr="008210C1">
        <w:rPr>
          <w:rFonts w:ascii="Times New Roman" w:eastAsia="Times New Roman" w:hAnsi="Times New Roman" w:cs="Times New Roman"/>
          <w:sz w:val="24"/>
          <w:szCs w:val="24"/>
          <w:lang w:val="en-US" w:eastAsia="pt-BR"/>
        </w:rPr>
        <w:t>,</w:t>
      </w:r>
      <w:r w:rsidR="005A4487" w:rsidRPr="008210C1">
        <w:rPr>
          <w:rFonts w:ascii="Times New Roman" w:eastAsia="Times New Roman" w:hAnsi="Times New Roman" w:cs="Times New Roman"/>
          <w:sz w:val="24"/>
          <w:szCs w:val="24"/>
          <w:lang w:val="en-US" w:eastAsia="pt-BR"/>
        </w:rPr>
        <w:t xml:space="preserve"> </w:t>
      </w:r>
      <w:r w:rsidR="000179D3" w:rsidRPr="008210C1">
        <w:rPr>
          <w:rFonts w:ascii="Times New Roman" w:eastAsia="Times New Roman" w:hAnsi="Times New Roman" w:cs="Times New Roman"/>
          <w:sz w:val="24"/>
          <w:szCs w:val="24"/>
          <w:lang w:val="en-US" w:eastAsia="pt-BR"/>
        </w:rPr>
        <w:t>whose</w:t>
      </w:r>
      <w:r w:rsidR="005A4487" w:rsidRPr="008210C1">
        <w:rPr>
          <w:rFonts w:ascii="Times New Roman" w:eastAsia="Times New Roman" w:hAnsi="Times New Roman" w:cs="Times New Roman"/>
          <w:sz w:val="24"/>
          <w:szCs w:val="24"/>
          <w:lang w:val="en-US" w:eastAsia="pt-BR"/>
        </w:rPr>
        <w:t xml:space="preserve"> consequences were</w:t>
      </w:r>
      <w:r w:rsidR="00BB6AF4" w:rsidRPr="008210C1">
        <w:rPr>
          <w:rFonts w:ascii="Times New Roman" w:eastAsia="Times New Roman" w:hAnsi="Times New Roman" w:cs="Times New Roman"/>
          <w:sz w:val="24"/>
          <w:szCs w:val="24"/>
          <w:lang w:val="en-US" w:eastAsia="pt-BR"/>
        </w:rPr>
        <w:t xml:space="preserve"> </w:t>
      </w:r>
      <w:r w:rsidR="000179D3" w:rsidRPr="008210C1">
        <w:rPr>
          <w:rFonts w:ascii="Times New Roman" w:eastAsia="Times New Roman" w:hAnsi="Times New Roman" w:cs="Times New Roman"/>
          <w:sz w:val="24"/>
          <w:szCs w:val="24"/>
          <w:lang w:val="en-US" w:eastAsia="pt-BR"/>
        </w:rPr>
        <w:t xml:space="preserve">smashed </w:t>
      </w:r>
      <w:r w:rsidR="00BB6AF4" w:rsidRPr="008210C1">
        <w:rPr>
          <w:rFonts w:ascii="Times New Roman" w:eastAsia="Times New Roman" w:hAnsi="Times New Roman" w:cs="Times New Roman"/>
          <w:sz w:val="24"/>
          <w:szCs w:val="24"/>
          <w:lang w:val="en-US" w:eastAsia="pt-BR"/>
        </w:rPr>
        <w:t>profits and</w:t>
      </w:r>
      <w:r w:rsidR="005A4487" w:rsidRPr="008210C1">
        <w:rPr>
          <w:rFonts w:ascii="Times New Roman" w:eastAsia="Times New Roman" w:hAnsi="Times New Roman" w:cs="Times New Roman"/>
          <w:sz w:val="24"/>
          <w:szCs w:val="24"/>
          <w:lang w:val="en-US" w:eastAsia="pt-BR"/>
        </w:rPr>
        <w:t xml:space="preserve"> the</w:t>
      </w:r>
      <w:r w:rsidR="00BB6AF4" w:rsidRPr="008210C1">
        <w:rPr>
          <w:rFonts w:ascii="Times New Roman" w:eastAsia="Times New Roman" w:hAnsi="Times New Roman" w:cs="Times New Roman"/>
          <w:sz w:val="24"/>
          <w:szCs w:val="24"/>
          <w:lang w:val="en-US" w:eastAsia="pt-BR"/>
        </w:rPr>
        <w:t xml:space="preserve"> </w:t>
      </w:r>
      <w:r w:rsidR="000179D3" w:rsidRPr="008210C1">
        <w:rPr>
          <w:rFonts w:ascii="Times New Roman" w:eastAsia="Times New Roman" w:hAnsi="Times New Roman" w:cs="Times New Roman"/>
          <w:sz w:val="24"/>
          <w:szCs w:val="24"/>
          <w:lang w:val="en-US" w:eastAsia="pt-BR"/>
        </w:rPr>
        <w:t xml:space="preserve">worsening of the </w:t>
      </w:r>
      <w:r w:rsidR="00BB6AF4" w:rsidRPr="008210C1">
        <w:rPr>
          <w:rFonts w:ascii="Times New Roman" w:eastAsia="Times New Roman" w:hAnsi="Times New Roman" w:cs="Times New Roman"/>
          <w:sz w:val="24"/>
          <w:szCs w:val="24"/>
          <w:lang w:val="en-US" w:eastAsia="pt-BR"/>
        </w:rPr>
        <w:t>current account.</w:t>
      </w:r>
      <w:r w:rsidR="0074091D" w:rsidRPr="008210C1">
        <w:rPr>
          <w:rFonts w:ascii="Times New Roman" w:eastAsia="Times New Roman" w:hAnsi="Times New Roman" w:cs="Times New Roman"/>
          <w:sz w:val="24"/>
          <w:szCs w:val="24"/>
          <w:lang w:val="en-US" w:eastAsia="pt-BR"/>
        </w:rPr>
        <w:t xml:space="preserve"> </w:t>
      </w:r>
      <w:r w:rsidR="000179D3" w:rsidRPr="008210C1">
        <w:rPr>
          <w:rFonts w:ascii="Times New Roman" w:hAnsi="Times New Roman" w:cs="Times New Roman"/>
          <w:sz w:val="24"/>
          <w:szCs w:val="24"/>
          <w:lang w:val="en-US"/>
        </w:rPr>
        <w:t xml:space="preserve">Capital controls, foreign reserves accumulation and hedge contract policies </w:t>
      </w:r>
      <w:r w:rsidR="003139AB" w:rsidRPr="008210C1">
        <w:rPr>
          <w:rFonts w:ascii="Times New Roman" w:hAnsi="Times New Roman" w:cs="Times New Roman"/>
          <w:sz w:val="24"/>
          <w:szCs w:val="24"/>
          <w:lang w:val="en-US"/>
        </w:rPr>
        <w:t xml:space="preserve">offered </w:t>
      </w:r>
      <w:r w:rsidR="000179D3" w:rsidRPr="008210C1">
        <w:rPr>
          <w:rFonts w:ascii="Times New Roman" w:hAnsi="Times New Roman" w:cs="Times New Roman"/>
          <w:sz w:val="24"/>
          <w:szCs w:val="24"/>
          <w:lang w:val="en-US"/>
        </w:rPr>
        <w:t xml:space="preserve">contradictory signals insofar as they were unstable or </w:t>
      </w:r>
      <w:r w:rsidR="003139AB" w:rsidRPr="008210C1">
        <w:rPr>
          <w:rFonts w:ascii="Times New Roman" w:hAnsi="Times New Roman" w:cs="Times New Roman"/>
          <w:sz w:val="24"/>
          <w:szCs w:val="24"/>
          <w:lang w:val="en-US"/>
        </w:rPr>
        <w:t>negatively influenced</w:t>
      </w:r>
      <w:r w:rsidR="000179D3" w:rsidRPr="008210C1">
        <w:rPr>
          <w:rFonts w:ascii="Times New Roman" w:hAnsi="Times New Roman" w:cs="Times New Roman"/>
          <w:sz w:val="24"/>
          <w:szCs w:val="24"/>
          <w:lang w:val="en-US"/>
        </w:rPr>
        <w:t xml:space="preserve"> the fiscal situation.</w:t>
      </w:r>
      <w:r w:rsidR="00A55972" w:rsidRPr="008210C1">
        <w:rPr>
          <w:rFonts w:ascii="Times New Roman" w:eastAsia="Times New Roman" w:hAnsi="Times New Roman" w:cs="Times New Roman"/>
          <w:sz w:val="24"/>
          <w:szCs w:val="24"/>
          <w:lang w:val="en-US" w:eastAsia="pt-BR"/>
        </w:rPr>
        <w:t xml:space="preserve"> </w:t>
      </w:r>
      <w:r w:rsidR="000179D3" w:rsidRPr="008210C1">
        <w:rPr>
          <w:rFonts w:ascii="Times New Roman" w:hAnsi="Times New Roman" w:cs="Times New Roman"/>
          <w:sz w:val="24"/>
          <w:szCs w:val="24"/>
          <w:lang w:val="en-GB"/>
        </w:rPr>
        <w:t>Likewise</w:t>
      </w:r>
      <w:r w:rsidR="005A4487" w:rsidRPr="008210C1">
        <w:rPr>
          <w:rFonts w:ascii="Times New Roman" w:hAnsi="Times New Roman" w:cs="Times New Roman"/>
          <w:sz w:val="24"/>
          <w:szCs w:val="24"/>
          <w:lang w:val="en-GB"/>
        </w:rPr>
        <w:t xml:space="preserve">, the overvalued </w:t>
      </w:r>
      <w:r w:rsidR="00CC7AB1" w:rsidRPr="008210C1">
        <w:rPr>
          <w:rFonts w:ascii="Times New Roman" w:hAnsi="Times New Roman" w:cs="Times New Roman"/>
          <w:sz w:val="24"/>
          <w:szCs w:val="24"/>
          <w:lang w:val="en-GB"/>
        </w:rPr>
        <w:t>currency</w:t>
      </w:r>
      <w:r w:rsidR="005A4487" w:rsidRPr="008210C1">
        <w:rPr>
          <w:rFonts w:ascii="Times New Roman" w:hAnsi="Times New Roman" w:cs="Times New Roman"/>
          <w:sz w:val="24"/>
          <w:szCs w:val="24"/>
          <w:lang w:val="en-GB"/>
        </w:rPr>
        <w:t xml:space="preserve"> led to </w:t>
      </w:r>
      <w:r w:rsidR="005A4487" w:rsidRPr="008210C1">
        <w:rPr>
          <w:rFonts w:ascii="Times New Roman" w:hAnsi="Times New Roman" w:cs="Times New Roman"/>
          <w:sz w:val="24"/>
          <w:szCs w:val="24"/>
          <w:lang w:val="en-US"/>
        </w:rPr>
        <w:t>the re</w:t>
      </w:r>
      <w:r w:rsidR="003139AB" w:rsidRPr="008210C1">
        <w:rPr>
          <w:rFonts w:ascii="Times New Roman" w:hAnsi="Times New Roman" w:cs="Times New Roman"/>
          <w:sz w:val="24"/>
          <w:szCs w:val="24"/>
          <w:lang w:val="en-US"/>
        </w:rPr>
        <w:t>-</w:t>
      </w:r>
      <w:r w:rsidR="005A4487" w:rsidRPr="008210C1">
        <w:rPr>
          <w:rFonts w:ascii="Times New Roman" w:hAnsi="Times New Roman" w:cs="Times New Roman"/>
          <w:sz w:val="24"/>
          <w:szCs w:val="24"/>
          <w:lang w:val="en-US"/>
        </w:rPr>
        <w:t xml:space="preserve">escalation of the primary sector both in the GDP and in the exports, diminishing the productivity gains </w:t>
      </w:r>
      <w:r w:rsidR="003F0101" w:rsidRPr="008210C1">
        <w:rPr>
          <w:rFonts w:ascii="Times New Roman" w:hAnsi="Times New Roman" w:cs="Times New Roman"/>
          <w:sz w:val="24"/>
          <w:szCs w:val="24"/>
          <w:lang w:val="en-US"/>
        </w:rPr>
        <w:t>of</w:t>
      </w:r>
      <w:r w:rsidR="005A4487" w:rsidRPr="008210C1">
        <w:rPr>
          <w:rFonts w:ascii="Times New Roman" w:hAnsi="Times New Roman" w:cs="Times New Roman"/>
          <w:sz w:val="24"/>
          <w:szCs w:val="24"/>
          <w:lang w:val="en-US"/>
        </w:rPr>
        <w:t xml:space="preserve"> the economy.</w:t>
      </w:r>
      <w:r w:rsidR="003F0101" w:rsidRPr="008210C1">
        <w:rPr>
          <w:rFonts w:ascii="Times New Roman" w:hAnsi="Times New Roman" w:cs="Times New Roman"/>
          <w:sz w:val="24"/>
          <w:szCs w:val="24"/>
          <w:lang w:val="en-US"/>
        </w:rPr>
        <w:t xml:space="preserve"> </w:t>
      </w:r>
      <w:r w:rsidR="003F0101" w:rsidRPr="008210C1">
        <w:rPr>
          <w:rFonts w:ascii="Times New Roman" w:eastAsia="Times New Roman" w:hAnsi="Times New Roman" w:cs="Times New Roman"/>
          <w:sz w:val="24"/>
          <w:szCs w:val="24"/>
          <w:lang w:val="en-US" w:eastAsia="pt-BR"/>
        </w:rPr>
        <w:t xml:space="preserve">Consequently, </w:t>
      </w:r>
      <w:r w:rsidR="003F0101" w:rsidRPr="008210C1">
        <w:rPr>
          <w:rFonts w:ascii="Times New Roman" w:hAnsi="Times New Roman" w:cs="Times New Roman"/>
          <w:sz w:val="24"/>
          <w:szCs w:val="24"/>
          <w:lang w:val="en-GB"/>
        </w:rPr>
        <w:t xml:space="preserve">agents’ confidence declined given the incoherence between these policies: consumption was fostered by social policies, but investment was inhibited by an overvalued </w:t>
      </w:r>
      <w:r w:rsidR="00933F49" w:rsidRPr="008210C1">
        <w:rPr>
          <w:rFonts w:ascii="Times New Roman" w:hAnsi="Times New Roman" w:cs="Times New Roman"/>
          <w:sz w:val="24"/>
          <w:szCs w:val="24"/>
          <w:lang w:val="en-GB"/>
        </w:rPr>
        <w:t>RER</w:t>
      </w:r>
      <w:r w:rsidR="008764AA" w:rsidRPr="008210C1">
        <w:rPr>
          <w:rFonts w:ascii="Times New Roman" w:hAnsi="Times New Roman" w:cs="Times New Roman"/>
          <w:sz w:val="24"/>
          <w:szCs w:val="24"/>
          <w:lang w:val="en-GB"/>
        </w:rPr>
        <w:t xml:space="preserve"> (</w:t>
      </w:r>
      <w:proofErr w:type="spellStart"/>
      <w:r w:rsidR="008764AA" w:rsidRPr="008210C1">
        <w:rPr>
          <w:rFonts w:ascii="Times New Roman" w:hAnsi="Times New Roman" w:cs="Times New Roman"/>
          <w:sz w:val="24"/>
          <w:szCs w:val="24"/>
          <w:lang w:val="en-GB"/>
        </w:rPr>
        <w:t>Arestis</w:t>
      </w:r>
      <w:proofErr w:type="spellEnd"/>
      <w:r w:rsidR="008764AA" w:rsidRPr="008210C1">
        <w:rPr>
          <w:rFonts w:ascii="Times New Roman" w:hAnsi="Times New Roman" w:cs="Times New Roman"/>
          <w:sz w:val="24"/>
          <w:szCs w:val="24"/>
          <w:lang w:val="en-GB"/>
        </w:rPr>
        <w:t xml:space="preserve"> and Terra, 2015)</w:t>
      </w:r>
      <w:r w:rsidR="0065402A" w:rsidRPr="008210C1">
        <w:rPr>
          <w:rFonts w:ascii="Times New Roman" w:hAnsi="Times New Roman" w:cs="Times New Roman"/>
          <w:sz w:val="24"/>
          <w:szCs w:val="24"/>
          <w:lang w:val="en-GB"/>
        </w:rPr>
        <w:t>. These features consolidated a maximum limit to the investment rate and, consequently, to the dynamic</w:t>
      </w:r>
      <w:r w:rsidR="003139AB" w:rsidRPr="008210C1">
        <w:rPr>
          <w:rFonts w:ascii="Times New Roman" w:hAnsi="Times New Roman" w:cs="Times New Roman"/>
          <w:sz w:val="24"/>
          <w:szCs w:val="24"/>
          <w:lang w:val="en-GB"/>
        </w:rPr>
        <w:t>s</w:t>
      </w:r>
      <w:r w:rsidR="0065402A" w:rsidRPr="008210C1">
        <w:rPr>
          <w:rFonts w:ascii="Times New Roman" w:hAnsi="Times New Roman" w:cs="Times New Roman"/>
          <w:sz w:val="24"/>
          <w:szCs w:val="24"/>
          <w:lang w:val="en-GB"/>
        </w:rPr>
        <w:t xml:space="preserve"> of economic growth.</w:t>
      </w:r>
    </w:p>
    <w:p w:rsidR="00FE1D32" w:rsidRDefault="003F0101"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Lastly, 201</w:t>
      </w:r>
      <w:r w:rsidR="00D84E0C" w:rsidRPr="008210C1">
        <w:rPr>
          <w:rFonts w:ascii="Times New Roman" w:hAnsi="Times New Roman" w:cs="Times New Roman"/>
          <w:sz w:val="24"/>
          <w:szCs w:val="24"/>
          <w:lang w:val="en-US"/>
        </w:rPr>
        <w:t>5</w:t>
      </w:r>
      <w:r w:rsidR="009E5FFC" w:rsidRPr="008210C1">
        <w:rPr>
          <w:rFonts w:ascii="Times New Roman" w:hAnsi="Times New Roman" w:cs="Times New Roman"/>
          <w:sz w:val="24"/>
          <w:szCs w:val="24"/>
          <w:lang w:val="en-US"/>
        </w:rPr>
        <w:t xml:space="preserve"> </w:t>
      </w:r>
      <w:r w:rsidR="00452D5C" w:rsidRPr="008210C1">
        <w:rPr>
          <w:rFonts w:ascii="Times New Roman" w:hAnsi="Times New Roman" w:cs="Times New Roman"/>
          <w:sz w:val="24"/>
          <w:szCs w:val="24"/>
          <w:lang w:val="en-US"/>
        </w:rPr>
        <w:t>had</w:t>
      </w:r>
      <w:r w:rsidR="0002347B" w:rsidRPr="008210C1">
        <w:rPr>
          <w:rFonts w:ascii="Times New Roman" w:hAnsi="Times New Roman" w:cs="Times New Roman"/>
          <w:sz w:val="24"/>
          <w:szCs w:val="24"/>
          <w:lang w:val="en-US"/>
        </w:rPr>
        <w:t xml:space="preserve"> </w:t>
      </w:r>
      <w:r w:rsidR="00FA170F" w:rsidRPr="008210C1">
        <w:rPr>
          <w:rFonts w:ascii="Times New Roman" w:hAnsi="Times New Roman" w:cs="Times New Roman"/>
          <w:sz w:val="24"/>
          <w:szCs w:val="24"/>
          <w:lang w:val="en-US"/>
        </w:rPr>
        <w:t>intense</w:t>
      </w:r>
      <w:r w:rsidR="002205B5" w:rsidRPr="008210C1">
        <w:rPr>
          <w:rFonts w:ascii="Times New Roman" w:hAnsi="Times New Roman" w:cs="Times New Roman"/>
          <w:sz w:val="24"/>
          <w:szCs w:val="24"/>
          <w:lang w:val="en-US"/>
        </w:rPr>
        <w:t xml:space="preserve"> </w:t>
      </w:r>
      <w:r w:rsidR="00A41623" w:rsidRPr="008210C1">
        <w:rPr>
          <w:rFonts w:ascii="Times New Roman" w:hAnsi="Times New Roman" w:cs="Times New Roman"/>
          <w:sz w:val="24"/>
          <w:szCs w:val="24"/>
          <w:lang w:val="en-US"/>
        </w:rPr>
        <w:t xml:space="preserve">exchange rate </w:t>
      </w:r>
      <w:r w:rsidR="00D84E0C" w:rsidRPr="008210C1">
        <w:rPr>
          <w:rFonts w:ascii="Times New Roman" w:hAnsi="Times New Roman" w:cs="Times New Roman"/>
          <w:sz w:val="24"/>
          <w:szCs w:val="24"/>
          <w:lang w:val="en-US"/>
        </w:rPr>
        <w:t>depreciation, around</w:t>
      </w:r>
      <w:r w:rsidR="00014621" w:rsidRPr="008210C1">
        <w:rPr>
          <w:rFonts w:ascii="Times New Roman" w:hAnsi="Times New Roman" w:cs="Times New Roman"/>
          <w:sz w:val="24"/>
          <w:szCs w:val="24"/>
          <w:lang w:val="en-US"/>
        </w:rPr>
        <w:t xml:space="preserve"> </w:t>
      </w:r>
      <w:r w:rsidR="002E50E7" w:rsidRPr="008210C1">
        <w:rPr>
          <w:rFonts w:ascii="Times New Roman" w:hAnsi="Times New Roman" w:cs="Times New Roman"/>
          <w:sz w:val="24"/>
          <w:szCs w:val="24"/>
          <w:lang w:val="en-US"/>
        </w:rPr>
        <w:t>47</w:t>
      </w:r>
      <w:r w:rsidR="002205B5" w:rsidRPr="008210C1">
        <w:rPr>
          <w:rFonts w:ascii="Times New Roman" w:hAnsi="Times New Roman" w:cs="Times New Roman"/>
          <w:sz w:val="24"/>
          <w:szCs w:val="24"/>
          <w:lang w:val="en-US"/>
        </w:rPr>
        <w:t xml:space="preserve">% </w:t>
      </w:r>
      <w:r w:rsidR="002E50E7" w:rsidRPr="008210C1">
        <w:rPr>
          <w:rFonts w:ascii="Times New Roman" w:hAnsi="Times New Roman" w:cs="Times New Roman"/>
          <w:sz w:val="24"/>
          <w:szCs w:val="24"/>
          <w:lang w:val="en-US"/>
        </w:rPr>
        <w:t>(</w:t>
      </w:r>
      <w:proofErr w:type="spellStart"/>
      <w:r w:rsidR="002E50E7" w:rsidRPr="008210C1">
        <w:rPr>
          <w:rFonts w:ascii="Times New Roman" w:hAnsi="Times New Roman" w:cs="Times New Roman"/>
          <w:sz w:val="24"/>
          <w:szCs w:val="24"/>
          <w:lang w:val="en-US"/>
        </w:rPr>
        <w:t>Ipedata</w:t>
      </w:r>
      <w:proofErr w:type="spellEnd"/>
      <w:r w:rsidR="002E50E7" w:rsidRPr="008210C1">
        <w:rPr>
          <w:rFonts w:ascii="Times New Roman" w:hAnsi="Times New Roman" w:cs="Times New Roman"/>
          <w:sz w:val="24"/>
          <w:szCs w:val="24"/>
          <w:lang w:val="en-US"/>
        </w:rPr>
        <w:t>, 2017)</w:t>
      </w:r>
      <w:r w:rsidR="002205B5" w:rsidRPr="008210C1">
        <w:rPr>
          <w:rFonts w:ascii="Times New Roman" w:hAnsi="Times New Roman" w:cs="Times New Roman"/>
          <w:sz w:val="24"/>
          <w:szCs w:val="24"/>
          <w:lang w:val="en-US"/>
        </w:rPr>
        <w:t xml:space="preserve">. </w:t>
      </w:r>
      <w:r w:rsidR="00492946" w:rsidRPr="008210C1">
        <w:rPr>
          <w:rFonts w:ascii="Times New Roman" w:hAnsi="Times New Roman" w:cs="Times New Roman"/>
          <w:sz w:val="24"/>
          <w:szCs w:val="24"/>
          <w:lang w:val="en-US"/>
        </w:rPr>
        <w:t>Brazil suffered an</w:t>
      </w:r>
      <w:r w:rsidR="002205B5" w:rsidRPr="008210C1">
        <w:rPr>
          <w:rFonts w:ascii="Times New Roman" w:hAnsi="Times New Roman" w:cs="Times New Roman"/>
          <w:sz w:val="24"/>
          <w:szCs w:val="24"/>
          <w:lang w:val="en-US"/>
        </w:rPr>
        <w:t xml:space="preserve"> overshooting, though the world was not </w:t>
      </w:r>
      <w:r w:rsidR="003139AB" w:rsidRPr="008210C1">
        <w:rPr>
          <w:rFonts w:ascii="Times New Roman" w:hAnsi="Times New Roman" w:cs="Times New Roman"/>
          <w:sz w:val="24"/>
          <w:szCs w:val="24"/>
          <w:lang w:val="en-US"/>
        </w:rPr>
        <w:t>going</w:t>
      </w:r>
      <w:r w:rsidR="002205B5" w:rsidRPr="008210C1">
        <w:rPr>
          <w:rFonts w:ascii="Times New Roman" w:hAnsi="Times New Roman" w:cs="Times New Roman"/>
          <w:sz w:val="24"/>
          <w:szCs w:val="24"/>
          <w:lang w:val="en-US"/>
        </w:rPr>
        <w:t xml:space="preserve"> through any </w:t>
      </w:r>
      <w:r w:rsidR="00283419" w:rsidRPr="008210C1">
        <w:rPr>
          <w:rFonts w:ascii="Times New Roman" w:hAnsi="Times New Roman" w:cs="Times New Roman"/>
          <w:sz w:val="24"/>
          <w:szCs w:val="24"/>
          <w:lang w:val="en-US"/>
        </w:rPr>
        <w:t xml:space="preserve">similar </w:t>
      </w:r>
      <w:r w:rsidR="002205B5" w:rsidRPr="008210C1">
        <w:rPr>
          <w:rFonts w:ascii="Times New Roman" w:hAnsi="Times New Roman" w:cs="Times New Roman"/>
          <w:sz w:val="24"/>
          <w:szCs w:val="24"/>
          <w:lang w:val="en-US"/>
        </w:rPr>
        <w:t>problem</w:t>
      </w:r>
      <w:r w:rsidR="003139AB" w:rsidRPr="008210C1">
        <w:rPr>
          <w:rFonts w:ascii="Times New Roman" w:hAnsi="Times New Roman" w:cs="Times New Roman"/>
          <w:sz w:val="24"/>
          <w:szCs w:val="24"/>
          <w:lang w:val="en-US"/>
        </w:rPr>
        <w:t>s</w:t>
      </w:r>
      <w:r w:rsidR="002205B5" w:rsidRPr="008210C1">
        <w:rPr>
          <w:rFonts w:ascii="Times New Roman" w:hAnsi="Times New Roman" w:cs="Times New Roman"/>
          <w:sz w:val="24"/>
          <w:szCs w:val="24"/>
          <w:lang w:val="en-US"/>
        </w:rPr>
        <w:t xml:space="preserve">. </w:t>
      </w:r>
      <w:r w:rsidR="00283419" w:rsidRPr="008210C1">
        <w:rPr>
          <w:rFonts w:ascii="Times New Roman" w:hAnsi="Times New Roman" w:cs="Times New Roman"/>
          <w:sz w:val="24"/>
          <w:szCs w:val="24"/>
          <w:lang w:val="en-US"/>
        </w:rPr>
        <w:t>I</w:t>
      </w:r>
      <w:r w:rsidR="002205B5" w:rsidRPr="008210C1">
        <w:rPr>
          <w:rFonts w:ascii="Times New Roman" w:hAnsi="Times New Roman" w:cs="Times New Roman"/>
          <w:sz w:val="24"/>
          <w:szCs w:val="24"/>
          <w:lang w:val="en-US"/>
        </w:rPr>
        <w:t xml:space="preserve">t was a Brazilian issue, an outcome of conventions that </w:t>
      </w:r>
      <w:r w:rsidR="00492946" w:rsidRPr="008210C1">
        <w:rPr>
          <w:rFonts w:ascii="Times New Roman" w:hAnsi="Times New Roman" w:cs="Times New Roman"/>
          <w:sz w:val="24"/>
          <w:szCs w:val="24"/>
          <w:lang w:val="en-US"/>
        </w:rPr>
        <w:t>understood that Rousseff had</w:t>
      </w:r>
      <w:r w:rsidR="002205B5" w:rsidRPr="008210C1">
        <w:rPr>
          <w:rFonts w:ascii="Times New Roman" w:hAnsi="Times New Roman" w:cs="Times New Roman"/>
          <w:sz w:val="24"/>
          <w:szCs w:val="24"/>
          <w:lang w:val="en-US"/>
        </w:rPr>
        <w:t xml:space="preserve"> </w:t>
      </w:r>
      <w:r w:rsidR="00492946" w:rsidRPr="008210C1">
        <w:rPr>
          <w:rFonts w:ascii="Times New Roman" w:hAnsi="Times New Roman" w:cs="Times New Roman"/>
          <w:sz w:val="24"/>
          <w:szCs w:val="24"/>
          <w:lang w:val="en-US"/>
        </w:rPr>
        <w:t xml:space="preserve">a misleading </w:t>
      </w:r>
      <w:r w:rsidR="002205B5" w:rsidRPr="008210C1">
        <w:rPr>
          <w:rFonts w:ascii="Times New Roman" w:hAnsi="Times New Roman" w:cs="Times New Roman"/>
          <w:sz w:val="24"/>
          <w:szCs w:val="24"/>
          <w:lang w:val="en-US"/>
        </w:rPr>
        <w:t>macroeconomic policy framework</w:t>
      </w:r>
      <w:r w:rsidR="00D85A31" w:rsidRPr="008210C1">
        <w:rPr>
          <w:rFonts w:ascii="Times New Roman" w:hAnsi="Times New Roman" w:cs="Times New Roman"/>
          <w:sz w:val="24"/>
          <w:szCs w:val="24"/>
          <w:lang w:val="en-US"/>
        </w:rPr>
        <w:t xml:space="preserve"> – as it was stressed in the previous sections, coordination and coherence amongst economic policies are needed to generate good conventions, which are crucial to boost investment in an uncertainty context</w:t>
      </w:r>
      <w:r w:rsidR="002205B5" w:rsidRPr="008210C1">
        <w:rPr>
          <w:rFonts w:ascii="Times New Roman" w:hAnsi="Times New Roman" w:cs="Times New Roman"/>
          <w:sz w:val="24"/>
          <w:szCs w:val="24"/>
          <w:lang w:val="en-US"/>
        </w:rPr>
        <w:t xml:space="preserve">. </w:t>
      </w:r>
      <w:r w:rsidR="00D84E0C" w:rsidRPr="008210C1">
        <w:rPr>
          <w:rFonts w:ascii="Times New Roman" w:hAnsi="Times New Roman" w:cs="Times New Roman"/>
          <w:sz w:val="24"/>
          <w:szCs w:val="24"/>
          <w:lang w:val="en-US"/>
        </w:rPr>
        <w:t>A</w:t>
      </w:r>
      <w:r w:rsidR="00A97F5E" w:rsidRPr="008210C1">
        <w:rPr>
          <w:rFonts w:ascii="Times New Roman" w:hAnsi="Times New Roman" w:cs="Times New Roman"/>
          <w:sz w:val="24"/>
          <w:szCs w:val="24"/>
          <w:lang w:val="en-US"/>
        </w:rPr>
        <w:t>lthough</w:t>
      </w:r>
      <w:r w:rsidR="000B27FA" w:rsidRPr="008210C1">
        <w:rPr>
          <w:rFonts w:ascii="Times New Roman" w:hAnsi="Times New Roman" w:cs="Times New Roman"/>
          <w:sz w:val="24"/>
          <w:szCs w:val="24"/>
          <w:lang w:val="en-US"/>
        </w:rPr>
        <w:t xml:space="preserve"> </w:t>
      </w:r>
      <w:r w:rsidR="00A97F5E" w:rsidRPr="008210C1">
        <w:rPr>
          <w:rFonts w:ascii="Times New Roman" w:hAnsi="Times New Roman" w:cs="Times New Roman"/>
          <w:sz w:val="24"/>
          <w:szCs w:val="24"/>
          <w:lang w:val="en-US"/>
        </w:rPr>
        <w:t xml:space="preserve">the economic recession was already </w:t>
      </w:r>
      <w:r w:rsidR="003139AB" w:rsidRPr="008210C1">
        <w:rPr>
          <w:rFonts w:ascii="Times New Roman" w:hAnsi="Times New Roman" w:cs="Times New Roman"/>
          <w:sz w:val="24"/>
          <w:szCs w:val="24"/>
          <w:lang w:val="en-US"/>
        </w:rPr>
        <w:t>there</w:t>
      </w:r>
      <w:r w:rsidR="00A97F5E" w:rsidRPr="008210C1">
        <w:rPr>
          <w:rFonts w:ascii="Times New Roman" w:hAnsi="Times New Roman" w:cs="Times New Roman"/>
          <w:sz w:val="24"/>
          <w:szCs w:val="24"/>
          <w:lang w:val="en-US"/>
        </w:rPr>
        <w:t xml:space="preserve"> in 2015, </w:t>
      </w:r>
      <w:r w:rsidR="006E1A20" w:rsidRPr="008210C1">
        <w:rPr>
          <w:rFonts w:ascii="Times New Roman" w:hAnsi="Times New Roman" w:cs="Times New Roman"/>
          <w:sz w:val="24"/>
          <w:szCs w:val="24"/>
          <w:lang w:val="en-US"/>
        </w:rPr>
        <w:t>conventions dishearten</w:t>
      </w:r>
      <w:r w:rsidR="008520AE" w:rsidRPr="008210C1">
        <w:rPr>
          <w:rFonts w:ascii="Times New Roman" w:hAnsi="Times New Roman" w:cs="Times New Roman"/>
          <w:sz w:val="24"/>
          <w:szCs w:val="24"/>
          <w:lang w:val="en-US"/>
        </w:rPr>
        <w:t>ed</w:t>
      </w:r>
      <w:r w:rsidR="006E1A20" w:rsidRPr="008210C1">
        <w:rPr>
          <w:rFonts w:ascii="Times New Roman" w:hAnsi="Times New Roman" w:cs="Times New Roman"/>
          <w:sz w:val="24"/>
          <w:szCs w:val="24"/>
          <w:lang w:val="en-US"/>
        </w:rPr>
        <w:t xml:space="preserve"> by the political crisis and the judicial operation against corruption and money laundering crimes that took place in Brazil by the end of 2014 onwards also </w:t>
      </w:r>
      <w:r w:rsidR="00283419" w:rsidRPr="008210C1">
        <w:rPr>
          <w:rFonts w:ascii="Times New Roman" w:hAnsi="Times New Roman" w:cs="Times New Roman"/>
          <w:sz w:val="24"/>
          <w:szCs w:val="24"/>
          <w:lang w:val="en-US"/>
        </w:rPr>
        <w:t>contributed to</w:t>
      </w:r>
      <w:r w:rsidR="006E1A20" w:rsidRPr="008210C1">
        <w:rPr>
          <w:rFonts w:ascii="Times New Roman" w:hAnsi="Times New Roman" w:cs="Times New Roman"/>
          <w:sz w:val="24"/>
          <w:szCs w:val="24"/>
          <w:lang w:val="en-US"/>
        </w:rPr>
        <w:t xml:space="preserve"> </w:t>
      </w:r>
      <w:r w:rsidR="002205B5" w:rsidRPr="008210C1">
        <w:rPr>
          <w:rFonts w:ascii="Times New Roman" w:hAnsi="Times New Roman" w:cs="Times New Roman"/>
          <w:sz w:val="24"/>
          <w:szCs w:val="24"/>
          <w:lang w:val="en-US"/>
        </w:rPr>
        <w:t>the 4</w:t>
      </w:r>
      <w:r w:rsidR="00D84E0C" w:rsidRPr="008210C1">
        <w:rPr>
          <w:rFonts w:ascii="Times New Roman" w:hAnsi="Times New Roman" w:cs="Times New Roman"/>
          <w:sz w:val="24"/>
          <w:szCs w:val="24"/>
          <w:lang w:val="en-US"/>
        </w:rPr>
        <w:t>7</w:t>
      </w:r>
      <w:r w:rsidR="002205B5" w:rsidRPr="008210C1">
        <w:rPr>
          <w:rFonts w:ascii="Times New Roman" w:hAnsi="Times New Roman" w:cs="Times New Roman"/>
          <w:sz w:val="24"/>
          <w:szCs w:val="24"/>
          <w:lang w:val="en-US"/>
        </w:rPr>
        <w:t xml:space="preserve">% </w:t>
      </w:r>
      <w:r w:rsidR="00CC7AB1" w:rsidRPr="008210C1">
        <w:rPr>
          <w:rFonts w:ascii="Times New Roman" w:hAnsi="Times New Roman" w:cs="Times New Roman"/>
          <w:sz w:val="24"/>
          <w:szCs w:val="24"/>
          <w:lang w:val="en-US"/>
        </w:rPr>
        <w:t>currency</w:t>
      </w:r>
      <w:r w:rsidR="00E13651" w:rsidRPr="008210C1">
        <w:rPr>
          <w:rFonts w:ascii="Times New Roman" w:hAnsi="Times New Roman" w:cs="Times New Roman"/>
          <w:sz w:val="24"/>
          <w:szCs w:val="24"/>
          <w:lang w:val="en-US"/>
        </w:rPr>
        <w:t xml:space="preserve"> </w:t>
      </w:r>
      <w:r w:rsidR="002205B5" w:rsidRPr="008210C1">
        <w:rPr>
          <w:rFonts w:ascii="Times New Roman" w:hAnsi="Times New Roman" w:cs="Times New Roman"/>
          <w:sz w:val="24"/>
          <w:szCs w:val="24"/>
          <w:lang w:val="en-US"/>
        </w:rPr>
        <w:t xml:space="preserve">devaluation </w:t>
      </w:r>
      <w:r w:rsidR="00A97F5E" w:rsidRPr="008210C1">
        <w:rPr>
          <w:rFonts w:ascii="Times New Roman" w:hAnsi="Times New Roman" w:cs="Times New Roman"/>
          <w:sz w:val="24"/>
          <w:szCs w:val="24"/>
          <w:lang w:val="en-US"/>
        </w:rPr>
        <w:t>that happened th</w:t>
      </w:r>
      <w:r w:rsidR="00F35883" w:rsidRPr="008210C1">
        <w:rPr>
          <w:rFonts w:ascii="Times New Roman" w:hAnsi="Times New Roman" w:cs="Times New Roman"/>
          <w:sz w:val="24"/>
          <w:szCs w:val="24"/>
          <w:lang w:val="en-US"/>
        </w:rPr>
        <w:t>at year</w:t>
      </w:r>
      <w:r w:rsidR="008520AE" w:rsidRPr="008210C1">
        <w:rPr>
          <w:rFonts w:ascii="Times New Roman" w:hAnsi="Times New Roman" w:cs="Times New Roman"/>
          <w:sz w:val="24"/>
          <w:szCs w:val="24"/>
          <w:lang w:val="en-US"/>
        </w:rPr>
        <w:t xml:space="preserve"> – </w:t>
      </w:r>
      <w:r w:rsidR="002205B5" w:rsidRPr="008210C1">
        <w:rPr>
          <w:rFonts w:ascii="Times New Roman" w:hAnsi="Times New Roman" w:cs="Times New Roman"/>
          <w:sz w:val="24"/>
          <w:szCs w:val="24"/>
          <w:lang w:val="en-US"/>
        </w:rPr>
        <w:t xml:space="preserve">an overshooting </w:t>
      </w:r>
      <w:r w:rsidR="00E13651" w:rsidRPr="008210C1">
        <w:rPr>
          <w:rFonts w:ascii="Times New Roman" w:hAnsi="Times New Roman" w:cs="Times New Roman"/>
          <w:sz w:val="24"/>
          <w:szCs w:val="24"/>
          <w:lang w:val="en-US"/>
        </w:rPr>
        <w:t>bigger</w:t>
      </w:r>
      <w:r w:rsidR="002205B5" w:rsidRPr="008210C1">
        <w:rPr>
          <w:rFonts w:ascii="Times New Roman" w:hAnsi="Times New Roman" w:cs="Times New Roman"/>
          <w:sz w:val="24"/>
          <w:szCs w:val="24"/>
          <w:lang w:val="en-US"/>
        </w:rPr>
        <w:t xml:space="preserve"> than the one Brazil had during the </w:t>
      </w:r>
      <w:r w:rsidR="00E13651" w:rsidRPr="008210C1">
        <w:rPr>
          <w:rFonts w:ascii="Times New Roman" w:hAnsi="Times New Roman" w:cs="Times New Roman"/>
          <w:sz w:val="24"/>
          <w:szCs w:val="24"/>
          <w:lang w:val="en-US"/>
        </w:rPr>
        <w:t xml:space="preserve">2008 </w:t>
      </w:r>
      <w:r w:rsidR="002205B5" w:rsidRPr="008210C1">
        <w:rPr>
          <w:rFonts w:ascii="Times New Roman" w:hAnsi="Times New Roman" w:cs="Times New Roman"/>
          <w:sz w:val="24"/>
          <w:szCs w:val="24"/>
          <w:lang w:val="en-US"/>
        </w:rPr>
        <w:t>international economic crisis</w:t>
      </w:r>
      <w:r w:rsidR="006E1A20" w:rsidRPr="008210C1">
        <w:rPr>
          <w:rFonts w:ascii="Times New Roman" w:hAnsi="Times New Roman" w:cs="Times New Roman"/>
          <w:sz w:val="24"/>
          <w:szCs w:val="24"/>
          <w:lang w:val="en-US"/>
        </w:rPr>
        <w:t>.</w:t>
      </w:r>
    </w:p>
    <w:p w:rsidR="00674DB0" w:rsidRPr="008210C1" w:rsidRDefault="00674DB0"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bookmarkStart w:id="0" w:name="_GoBack"/>
      <w:bookmarkEnd w:id="0"/>
    </w:p>
    <w:p w:rsidR="00E93E30" w:rsidRPr="008210C1" w:rsidRDefault="00E93E30" w:rsidP="008210C1">
      <w:pPr>
        <w:pStyle w:val="Commarcadores"/>
        <w:numPr>
          <w:ilvl w:val="0"/>
          <w:numId w:val="0"/>
        </w:numPr>
        <w:spacing w:after="0" w:line="240" w:lineRule="auto"/>
        <w:ind w:hanging="360"/>
        <w:jc w:val="both"/>
        <w:outlineLvl w:val="0"/>
        <w:rPr>
          <w:rFonts w:ascii="Times New Roman" w:hAnsi="Times New Roman" w:cs="Times New Roman"/>
          <w:b/>
          <w:sz w:val="24"/>
          <w:szCs w:val="24"/>
          <w:lang w:val="en-US"/>
        </w:rPr>
      </w:pPr>
    </w:p>
    <w:p w:rsidR="002205B5" w:rsidRPr="008210C1" w:rsidRDefault="007A2A21" w:rsidP="008210C1">
      <w:pPr>
        <w:pStyle w:val="Commarcadores"/>
        <w:numPr>
          <w:ilvl w:val="0"/>
          <w:numId w:val="0"/>
        </w:numPr>
        <w:spacing w:after="0" w:line="240" w:lineRule="auto"/>
        <w:ind w:hanging="360"/>
        <w:jc w:val="both"/>
        <w:outlineLvl w:val="0"/>
        <w:rPr>
          <w:rFonts w:ascii="Times New Roman" w:hAnsi="Times New Roman" w:cs="Times New Roman"/>
          <w:b/>
          <w:sz w:val="24"/>
          <w:szCs w:val="24"/>
          <w:lang w:val="en-US"/>
        </w:rPr>
      </w:pPr>
      <w:r w:rsidRPr="008210C1">
        <w:rPr>
          <w:rFonts w:ascii="Times New Roman" w:hAnsi="Times New Roman" w:cs="Times New Roman"/>
          <w:b/>
          <w:sz w:val="24"/>
          <w:szCs w:val="24"/>
          <w:lang w:val="en-US"/>
        </w:rPr>
        <w:lastRenderedPageBreak/>
        <w:t>4.2.</w:t>
      </w:r>
      <w:r w:rsidR="002205B5" w:rsidRPr="008210C1">
        <w:rPr>
          <w:rFonts w:ascii="Times New Roman" w:hAnsi="Times New Roman" w:cs="Times New Roman"/>
          <w:b/>
          <w:sz w:val="24"/>
          <w:szCs w:val="24"/>
          <w:lang w:val="en-US"/>
        </w:rPr>
        <w:t xml:space="preserve"> Conventions and Fiscal Policy Problems</w:t>
      </w:r>
    </w:p>
    <w:p w:rsidR="00AB35DB" w:rsidRPr="008210C1" w:rsidRDefault="00AB35DB" w:rsidP="008210C1">
      <w:pPr>
        <w:pStyle w:val="Commarcadores"/>
        <w:numPr>
          <w:ilvl w:val="0"/>
          <w:numId w:val="0"/>
        </w:numPr>
        <w:spacing w:after="0" w:line="240" w:lineRule="auto"/>
        <w:ind w:firstLine="709"/>
        <w:jc w:val="both"/>
        <w:rPr>
          <w:rFonts w:ascii="Times New Roman" w:hAnsi="Times New Roman" w:cs="Times New Roman"/>
          <w:sz w:val="24"/>
          <w:szCs w:val="24"/>
          <w:lang w:val="en-GB"/>
        </w:rPr>
      </w:pPr>
      <w:r w:rsidRPr="008210C1">
        <w:rPr>
          <w:rFonts w:ascii="Times New Roman" w:hAnsi="Times New Roman" w:cs="Times New Roman"/>
          <w:sz w:val="24"/>
          <w:szCs w:val="24"/>
          <w:lang w:val="en-US"/>
        </w:rPr>
        <w:t>After 2011, Brazilian economy started feeling the path of the world econom</w:t>
      </w:r>
      <w:r w:rsidR="003139AB" w:rsidRPr="008210C1">
        <w:rPr>
          <w:rFonts w:ascii="Times New Roman" w:hAnsi="Times New Roman" w:cs="Times New Roman"/>
          <w:sz w:val="24"/>
          <w:szCs w:val="24"/>
          <w:lang w:val="en-US"/>
        </w:rPr>
        <w:t xml:space="preserve">ic policies </w:t>
      </w:r>
      <w:r w:rsidRPr="008210C1">
        <w:rPr>
          <w:rFonts w:ascii="Times New Roman" w:hAnsi="Times New Roman" w:cs="Times New Roman"/>
          <w:sz w:val="24"/>
          <w:szCs w:val="24"/>
          <w:lang w:val="en-US"/>
        </w:rPr>
        <w:t>(Euro Crisis, Quantitative Easing provoking depreciation</w:t>
      </w:r>
      <w:r w:rsidR="00AA368A"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of the developed countries’ </w:t>
      </w:r>
      <w:r w:rsidR="00CC7AB1" w:rsidRPr="008210C1">
        <w:rPr>
          <w:rFonts w:ascii="Times New Roman" w:hAnsi="Times New Roman" w:cs="Times New Roman"/>
          <w:sz w:val="24"/>
          <w:szCs w:val="24"/>
          <w:lang w:val="en-US"/>
        </w:rPr>
        <w:t>currencies</w:t>
      </w:r>
      <w:r w:rsidR="00283419" w:rsidRPr="008210C1">
        <w:rPr>
          <w:rFonts w:ascii="Times New Roman" w:hAnsi="Times New Roman" w:cs="Times New Roman"/>
          <w:sz w:val="24"/>
          <w:szCs w:val="24"/>
          <w:lang w:val="en-US"/>
        </w:rPr>
        <w:t xml:space="preserve">, China ‘New Normal’, </w:t>
      </w:r>
      <w:r w:rsidR="00FE1D32" w:rsidRPr="008210C1">
        <w:rPr>
          <w:rFonts w:ascii="Times New Roman" w:hAnsi="Times New Roman" w:cs="Times New Roman"/>
          <w:sz w:val="24"/>
          <w:szCs w:val="24"/>
          <w:lang w:val="en-US"/>
        </w:rPr>
        <w:t xml:space="preserve">the higher competition on international markets, </w:t>
      </w:r>
      <w:r w:rsidR="00283419" w:rsidRPr="008210C1">
        <w:rPr>
          <w:rFonts w:ascii="Times New Roman" w:hAnsi="Times New Roman" w:cs="Times New Roman"/>
          <w:sz w:val="24"/>
          <w:szCs w:val="24"/>
          <w:lang w:val="en-US"/>
        </w:rPr>
        <w:t>etc.</w:t>
      </w:r>
      <w:r w:rsidRPr="008210C1">
        <w:rPr>
          <w:rFonts w:ascii="Times New Roman" w:hAnsi="Times New Roman" w:cs="Times New Roman"/>
          <w:sz w:val="24"/>
          <w:szCs w:val="24"/>
          <w:lang w:val="en-US"/>
        </w:rPr>
        <w:t>)</w:t>
      </w:r>
      <w:r w:rsidR="0096391F" w:rsidRPr="008210C1">
        <w:rPr>
          <w:rFonts w:ascii="Times New Roman" w:hAnsi="Times New Roman" w:cs="Times New Roman"/>
          <w:sz w:val="24"/>
          <w:szCs w:val="24"/>
          <w:lang w:val="en-US"/>
        </w:rPr>
        <w:t xml:space="preserve"> and of its own problems</w:t>
      </w:r>
      <w:r w:rsidRPr="008210C1">
        <w:rPr>
          <w:rFonts w:ascii="Times New Roman" w:hAnsi="Times New Roman" w:cs="Times New Roman"/>
          <w:sz w:val="24"/>
          <w:szCs w:val="24"/>
          <w:lang w:val="en-US"/>
        </w:rPr>
        <w:t xml:space="preserve">. </w:t>
      </w:r>
      <w:r w:rsidR="00CC14F0" w:rsidRPr="008210C1">
        <w:rPr>
          <w:rFonts w:ascii="Times New Roman" w:hAnsi="Times New Roman" w:cs="Times New Roman"/>
          <w:sz w:val="24"/>
          <w:szCs w:val="24"/>
          <w:lang w:val="en-US"/>
        </w:rPr>
        <w:t xml:space="preserve">Even accounting for </w:t>
      </w:r>
      <w:r w:rsidR="00CC7AB1" w:rsidRPr="008210C1">
        <w:rPr>
          <w:rFonts w:ascii="Times New Roman" w:hAnsi="Times New Roman" w:cs="Times New Roman"/>
          <w:sz w:val="24"/>
          <w:szCs w:val="24"/>
          <w:lang w:val="en-US"/>
        </w:rPr>
        <w:t>a currency</w:t>
      </w:r>
      <w:r w:rsidRPr="008210C1">
        <w:rPr>
          <w:rFonts w:ascii="Times New Roman" w:hAnsi="Times New Roman" w:cs="Times New Roman"/>
          <w:sz w:val="24"/>
          <w:szCs w:val="24"/>
          <w:lang w:val="en-US"/>
        </w:rPr>
        <w:t xml:space="preserve"> devaluation, </w:t>
      </w:r>
      <w:r w:rsidR="001B1B35" w:rsidRPr="008210C1">
        <w:rPr>
          <w:rFonts w:ascii="Times New Roman" w:hAnsi="Times New Roman" w:cs="Times New Roman"/>
          <w:sz w:val="24"/>
          <w:szCs w:val="24"/>
          <w:lang w:val="en-US"/>
        </w:rPr>
        <w:t xml:space="preserve">its magnitude was not sufficient </w:t>
      </w:r>
      <w:r w:rsidR="003D736D" w:rsidRPr="008210C1">
        <w:rPr>
          <w:rFonts w:ascii="Times New Roman" w:hAnsi="Times New Roman" w:cs="Times New Roman"/>
          <w:sz w:val="24"/>
          <w:szCs w:val="24"/>
          <w:lang w:val="en-US"/>
        </w:rPr>
        <w:t xml:space="preserve">to offset the fall in the </w:t>
      </w:r>
      <w:r w:rsidRPr="008210C1">
        <w:rPr>
          <w:rFonts w:ascii="Times New Roman" w:hAnsi="Times New Roman" w:cs="Times New Roman"/>
          <w:sz w:val="24"/>
          <w:szCs w:val="24"/>
          <w:lang w:val="en-US"/>
        </w:rPr>
        <w:t>export</w:t>
      </w:r>
      <w:r w:rsidR="00D84E0C" w:rsidRPr="008210C1">
        <w:rPr>
          <w:rFonts w:ascii="Times New Roman" w:hAnsi="Times New Roman" w:cs="Times New Roman"/>
          <w:sz w:val="24"/>
          <w:szCs w:val="24"/>
          <w:lang w:val="en-US"/>
        </w:rPr>
        <w:t>s</w:t>
      </w:r>
      <w:r w:rsidR="0096391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that was so important to the dynamics of the Brazilian economic growth years before. </w:t>
      </w:r>
      <w:r w:rsidR="0096391F" w:rsidRPr="008210C1">
        <w:rPr>
          <w:rFonts w:ascii="Times New Roman" w:hAnsi="Times New Roman" w:cs="Times New Roman"/>
          <w:sz w:val="24"/>
          <w:szCs w:val="24"/>
          <w:lang w:val="en-US"/>
        </w:rPr>
        <w:t>Without the external drive,</w:t>
      </w:r>
      <w:r w:rsidR="00515F4F" w:rsidRPr="008210C1">
        <w:rPr>
          <w:rFonts w:ascii="Times New Roman" w:hAnsi="Times New Roman" w:cs="Times New Roman"/>
          <w:sz w:val="24"/>
          <w:szCs w:val="24"/>
          <w:lang w:val="en-US"/>
        </w:rPr>
        <w:t xml:space="preserve"> </w:t>
      </w:r>
      <w:r w:rsidR="00D84E0C" w:rsidRPr="008210C1">
        <w:rPr>
          <w:rFonts w:ascii="Times New Roman" w:hAnsi="Times New Roman" w:cs="Times New Roman"/>
          <w:sz w:val="24"/>
          <w:szCs w:val="24"/>
          <w:lang w:val="en-US"/>
        </w:rPr>
        <w:t xml:space="preserve">FP </w:t>
      </w:r>
      <w:r w:rsidRPr="008210C1">
        <w:rPr>
          <w:rFonts w:ascii="Times New Roman" w:hAnsi="Times New Roman" w:cs="Times New Roman"/>
          <w:sz w:val="24"/>
          <w:szCs w:val="24"/>
          <w:lang w:val="en-US"/>
        </w:rPr>
        <w:t xml:space="preserve">was </w:t>
      </w:r>
      <w:r w:rsidR="006A276E" w:rsidRPr="008210C1">
        <w:rPr>
          <w:rFonts w:ascii="Times New Roman" w:hAnsi="Times New Roman" w:cs="Times New Roman"/>
          <w:sz w:val="24"/>
          <w:szCs w:val="24"/>
          <w:lang w:val="en-US"/>
        </w:rPr>
        <w:t>due</w:t>
      </w:r>
      <w:r w:rsidR="003139AB"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to foster growth.</w:t>
      </w:r>
    </w:p>
    <w:p w:rsidR="0024493E" w:rsidRPr="008210C1" w:rsidRDefault="00AB35DB"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GB"/>
        </w:rPr>
        <w:t>W</w:t>
      </w:r>
      <w:r w:rsidR="00EF330D" w:rsidRPr="008210C1">
        <w:rPr>
          <w:rFonts w:ascii="Times New Roman" w:eastAsia="Times New Roman" w:hAnsi="Times New Roman" w:cs="Times New Roman"/>
          <w:sz w:val="24"/>
          <w:szCs w:val="24"/>
          <w:lang w:val="en-US" w:eastAsia="pt-BR"/>
        </w:rPr>
        <w:t xml:space="preserve">hen </w:t>
      </w:r>
      <w:r w:rsidR="00EF330D" w:rsidRPr="008210C1">
        <w:rPr>
          <w:rFonts w:ascii="Times New Roman" w:hAnsi="Times New Roman" w:cs="Times New Roman"/>
          <w:sz w:val="24"/>
          <w:szCs w:val="24"/>
          <w:lang w:val="en-GB"/>
        </w:rPr>
        <w:t>Rousseff’s</w:t>
      </w:r>
      <w:r w:rsidR="00EF330D" w:rsidRPr="008210C1">
        <w:rPr>
          <w:rFonts w:ascii="Times New Roman" w:eastAsia="Times New Roman" w:hAnsi="Times New Roman" w:cs="Times New Roman"/>
          <w:sz w:val="24"/>
          <w:szCs w:val="24"/>
          <w:lang w:val="en-US" w:eastAsia="pt-BR"/>
        </w:rPr>
        <w:t xml:space="preserve"> cabinet started in 2011,</w:t>
      </w:r>
      <w:r w:rsidR="00CC14F0" w:rsidRPr="008210C1">
        <w:rPr>
          <w:rFonts w:ascii="Times New Roman" w:eastAsia="Times New Roman" w:hAnsi="Times New Roman" w:cs="Times New Roman"/>
          <w:sz w:val="24"/>
          <w:szCs w:val="24"/>
          <w:lang w:val="en-US" w:eastAsia="pt-BR"/>
        </w:rPr>
        <w:t xml:space="preserve"> </w:t>
      </w:r>
      <w:r w:rsidR="0096391F" w:rsidRPr="008210C1">
        <w:rPr>
          <w:rFonts w:ascii="Times New Roman" w:hAnsi="Times New Roman" w:cs="Times New Roman"/>
          <w:sz w:val="24"/>
          <w:szCs w:val="24"/>
          <w:lang w:val="en-GB"/>
        </w:rPr>
        <w:t xml:space="preserve">as a counter cyclical measure, </w:t>
      </w:r>
      <w:r w:rsidR="00F07CA0" w:rsidRPr="008210C1">
        <w:rPr>
          <w:rFonts w:ascii="Times New Roman" w:hAnsi="Times New Roman" w:cs="Times New Roman"/>
          <w:sz w:val="24"/>
          <w:szCs w:val="24"/>
          <w:lang w:val="en-GB"/>
        </w:rPr>
        <w:t xml:space="preserve">it </w:t>
      </w:r>
      <w:r w:rsidR="00793C2E" w:rsidRPr="008210C1">
        <w:rPr>
          <w:rFonts w:ascii="Times New Roman" w:hAnsi="Times New Roman" w:cs="Times New Roman"/>
          <w:sz w:val="24"/>
          <w:szCs w:val="24"/>
          <w:lang w:val="en-GB"/>
        </w:rPr>
        <w:t xml:space="preserve">pursued decreasing </w:t>
      </w:r>
      <w:r w:rsidR="00F07CA0" w:rsidRPr="008210C1">
        <w:rPr>
          <w:rFonts w:ascii="Times New Roman" w:hAnsi="Times New Roman" w:cs="Times New Roman"/>
          <w:sz w:val="24"/>
          <w:szCs w:val="24"/>
          <w:lang w:val="en-GB"/>
        </w:rPr>
        <w:t>primary surpluses,</w:t>
      </w:r>
      <w:r w:rsidR="00793C2E" w:rsidRPr="008210C1">
        <w:rPr>
          <w:rFonts w:ascii="Times New Roman" w:hAnsi="Times New Roman" w:cs="Times New Roman"/>
          <w:sz w:val="24"/>
          <w:szCs w:val="24"/>
          <w:lang w:val="en-GB"/>
        </w:rPr>
        <w:t xml:space="preserve"> which went from</w:t>
      </w:r>
      <w:r w:rsidR="00CC14F0" w:rsidRPr="008210C1">
        <w:rPr>
          <w:rFonts w:ascii="Times New Roman" w:hAnsi="Times New Roman" w:cs="Times New Roman"/>
          <w:sz w:val="24"/>
          <w:szCs w:val="24"/>
          <w:lang w:val="en-GB"/>
        </w:rPr>
        <w:t xml:space="preserve"> </w:t>
      </w:r>
      <w:r w:rsidR="00793C2E" w:rsidRPr="008210C1">
        <w:rPr>
          <w:rFonts w:ascii="Times New Roman" w:hAnsi="Times New Roman" w:cs="Times New Roman"/>
          <w:sz w:val="24"/>
          <w:szCs w:val="24"/>
          <w:lang w:val="en-GB"/>
        </w:rPr>
        <w:t>2</w:t>
      </w:r>
      <w:r w:rsidR="004436F8" w:rsidRPr="008210C1">
        <w:rPr>
          <w:rFonts w:ascii="Times New Roman" w:hAnsi="Times New Roman" w:cs="Times New Roman"/>
          <w:sz w:val="24"/>
          <w:szCs w:val="24"/>
          <w:lang w:val="en-GB"/>
        </w:rPr>
        <w:t>.</w:t>
      </w:r>
      <w:r w:rsidR="00793C2E" w:rsidRPr="008210C1">
        <w:rPr>
          <w:rFonts w:ascii="Times New Roman" w:hAnsi="Times New Roman" w:cs="Times New Roman"/>
          <w:sz w:val="24"/>
          <w:szCs w:val="24"/>
          <w:lang w:val="en-GB"/>
        </w:rPr>
        <w:t>89</w:t>
      </w:r>
      <w:r w:rsidR="00F07CA0" w:rsidRPr="008210C1">
        <w:rPr>
          <w:rFonts w:ascii="Times New Roman" w:hAnsi="Times New Roman" w:cs="Times New Roman"/>
          <w:sz w:val="24"/>
          <w:szCs w:val="24"/>
          <w:lang w:val="en-GB"/>
        </w:rPr>
        <w:t xml:space="preserve">% </w:t>
      </w:r>
      <w:r w:rsidR="00793C2E" w:rsidRPr="008210C1">
        <w:rPr>
          <w:rFonts w:ascii="Times New Roman" w:hAnsi="Times New Roman" w:cs="Times New Roman"/>
          <w:sz w:val="24"/>
          <w:szCs w:val="24"/>
          <w:lang w:val="en-GB"/>
        </w:rPr>
        <w:t>to 1</w:t>
      </w:r>
      <w:r w:rsidR="004436F8" w:rsidRPr="008210C1">
        <w:rPr>
          <w:rFonts w:ascii="Times New Roman" w:hAnsi="Times New Roman" w:cs="Times New Roman"/>
          <w:sz w:val="24"/>
          <w:szCs w:val="24"/>
          <w:lang w:val="en-GB"/>
        </w:rPr>
        <w:t>.</w:t>
      </w:r>
      <w:r w:rsidR="00793C2E" w:rsidRPr="008210C1">
        <w:rPr>
          <w:rFonts w:ascii="Times New Roman" w:hAnsi="Times New Roman" w:cs="Times New Roman"/>
          <w:sz w:val="24"/>
          <w:szCs w:val="24"/>
          <w:lang w:val="en-GB"/>
        </w:rPr>
        <w:t xml:space="preserve">74% </w:t>
      </w:r>
      <w:r w:rsidR="00F07CA0" w:rsidRPr="008210C1">
        <w:rPr>
          <w:rFonts w:ascii="Times New Roman" w:hAnsi="Times New Roman" w:cs="Times New Roman"/>
          <w:sz w:val="24"/>
          <w:szCs w:val="24"/>
          <w:lang w:val="en-GB"/>
        </w:rPr>
        <w:t>of GDP between 2011 and 2013</w:t>
      </w:r>
      <w:r w:rsidR="0096391F" w:rsidRPr="008210C1">
        <w:rPr>
          <w:rFonts w:ascii="Times New Roman" w:hAnsi="Times New Roman" w:cs="Times New Roman"/>
          <w:sz w:val="24"/>
          <w:szCs w:val="24"/>
          <w:lang w:val="en-GB"/>
        </w:rPr>
        <w:t xml:space="preserve"> (</w:t>
      </w:r>
      <w:proofErr w:type="spellStart"/>
      <w:r w:rsidR="00F44441" w:rsidRPr="008210C1">
        <w:rPr>
          <w:rFonts w:ascii="Times New Roman" w:hAnsi="Times New Roman" w:cs="Times New Roman"/>
          <w:sz w:val="24"/>
          <w:szCs w:val="24"/>
          <w:lang w:val="en-GB"/>
        </w:rPr>
        <w:t>Ipeadata</w:t>
      </w:r>
      <w:proofErr w:type="spellEnd"/>
      <w:r w:rsidR="0096391F" w:rsidRPr="008210C1">
        <w:rPr>
          <w:rFonts w:ascii="Times New Roman" w:hAnsi="Times New Roman" w:cs="Times New Roman"/>
          <w:sz w:val="24"/>
          <w:szCs w:val="24"/>
          <w:lang w:val="en-GB"/>
        </w:rPr>
        <w:t>, 2017)</w:t>
      </w:r>
      <w:r w:rsidR="006B3ED0" w:rsidRPr="008210C1">
        <w:rPr>
          <w:rFonts w:ascii="Times New Roman" w:hAnsi="Times New Roman" w:cs="Times New Roman"/>
          <w:sz w:val="24"/>
          <w:szCs w:val="24"/>
          <w:lang w:val="en-GB"/>
        </w:rPr>
        <w:t xml:space="preserve">. </w:t>
      </w:r>
      <w:r w:rsidR="00283419" w:rsidRPr="008210C1">
        <w:rPr>
          <w:rFonts w:ascii="Times New Roman" w:hAnsi="Times New Roman" w:cs="Times New Roman"/>
          <w:sz w:val="24"/>
          <w:szCs w:val="24"/>
          <w:lang w:val="en-GB"/>
        </w:rPr>
        <w:t>Then</w:t>
      </w:r>
      <w:r w:rsidR="006B3ED0" w:rsidRPr="008210C1">
        <w:rPr>
          <w:rFonts w:ascii="Times New Roman" w:hAnsi="Times New Roman" w:cs="Times New Roman"/>
          <w:sz w:val="24"/>
          <w:szCs w:val="24"/>
          <w:lang w:val="en-GB"/>
        </w:rPr>
        <w:t xml:space="preserve">, </w:t>
      </w:r>
      <w:r w:rsidR="00283419" w:rsidRPr="008210C1">
        <w:rPr>
          <w:rFonts w:ascii="Times New Roman" w:hAnsi="Times New Roman" w:cs="Times New Roman"/>
          <w:sz w:val="24"/>
          <w:szCs w:val="24"/>
          <w:lang w:val="en-US"/>
        </w:rPr>
        <w:t xml:space="preserve">some manufacturing sectors (automobile, household appliances, building material, basic basket goods, etc.) gained </w:t>
      </w:r>
      <w:r w:rsidR="00EF330D" w:rsidRPr="008210C1">
        <w:rPr>
          <w:rFonts w:ascii="Times New Roman" w:hAnsi="Times New Roman" w:cs="Times New Roman"/>
          <w:sz w:val="24"/>
          <w:szCs w:val="24"/>
          <w:lang w:val="en-US"/>
        </w:rPr>
        <w:t>tax allowance</w:t>
      </w:r>
      <w:r w:rsidR="003A6D7D" w:rsidRPr="008210C1">
        <w:rPr>
          <w:rFonts w:ascii="Times New Roman" w:hAnsi="Times New Roman" w:cs="Times New Roman"/>
          <w:sz w:val="24"/>
          <w:szCs w:val="24"/>
          <w:lang w:val="en-US"/>
        </w:rPr>
        <w:t>s</w:t>
      </w:r>
      <w:r w:rsidR="00283419" w:rsidRPr="008210C1">
        <w:rPr>
          <w:rFonts w:ascii="Times New Roman" w:hAnsi="Times New Roman" w:cs="Times New Roman"/>
          <w:sz w:val="24"/>
          <w:szCs w:val="24"/>
          <w:lang w:val="en-US"/>
        </w:rPr>
        <w:t xml:space="preserve">; </w:t>
      </w:r>
      <w:r w:rsidR="003A6D7D" w:rsidRPr="008210C1">
        <w:rPr>
          <w:rFonts w:ascii="Times New Roman" w:hAnsi="Times New Roman" w:cs="Times New Roman"/>
          <w:sz w:val="24"/>
          <w:szCs w:val="24"/>
          <w:lang w:val="en-US"/>
        </w:rPr>
        <w:t xml:space="preserve">similar </w:t>
      </w:r>
      <w:r w:rsidR="00A82BF1" w:rsidRPr="008210C1">
        <w:rPr>
          <w:rFonts w:ascii="Times New Roman" w:hAnsi="Times New Roman" w:cs="Times New Roman"/>
          <w:sz w:val="24"/>
          <w:szCs w:val="24"/>
          <w:lang w:val="en-US"/>
        </w:rPr>
        <w:t xml:space="preserve">allowances </w:t>
      </w:r>
      <w:r w:rsidR="003A6D7D" w:rsidRPr="008210C1">
        <w:rPr>
          <w:rFonts w:ascii="Times New Roman" w:hAnsi="Times New Roman" w:cs="Times New Roman"/>
          <w:sz w:val="24"/>
          <w:szCs w:val="24"/>
          <w:lang w:val="en-US"/>
        </w:rPr>
        <w:t>emerged</w:t>
      </w:r>
      <w:r w:rsidR="00283419" w:rsidRPr="008210C1">
        <w:rPr>
          <w:rFonts w:ascii="Times New Roman" w:hAnsi="Times New Roman" w:cs="Times New Roman"/>
          <w:sz w:val="24"/>
          <w:szCs w:val="24"/>
          <w:lang w:val="en-US"/>
        </w:rPr>
        <w:t xml:space="preserve"> to</w:t>
      </w:r>
      <w:r w:rsidR="0096391F" w:rsidRPr="008210C1">
        <w:rPr>
          <w:rFonts w:ascii="Times New Roman" w:hAnsi="Times New Roman" w:cs="Times New Roman"/>
          <w:sz w:val="24"/>
          <w:szCs w:val="24"/>
          <w:lang w:val="en-US"/>
        </w:rPr>
        <w:t xml:space="preserve"> the </w:t>
      </w:r>
      <w:r w:rsidR="00283419" w:rsidRPr="008210C1">
        <w:rPr>
          <w:rFonts w:ascii="Times New Roman" w:hAnsi="Times New Roman" w:cs="Times New Roman"/>
          <w:sz w:val="24"/>
          <w:szCs w:val="24"/>
          <w:lang w:val="en-US"/>
        </w:rPr>
        <w:t xml:space="preserve">taxes on the </w:t>
      </w:r>
      <w:r w:rsidR="0096391F" w:rsidRPr="008210C1">
        <w:rPr>
          <w:rFonts w:ascii="Times New Roman" w:hAnsi="Times New Roman" w:cs="Times New Roman"/>
          <w:sz w:val="24"/>
          <w:szCs w:val="24"/>
          <w:lang w:val="en-US"/>
        </w:rPr>
        <w:t xml:space="preserve">wage bill of </w:t>
      </w:r>
      <w:r w:rsidR="0024493E" w:rsidRPr="008210C1">
        <w:rPr>
          <w:rFonts w:ascii="Times New Roman" w:hAnsi="Times New Roman" w:cs="Times New Roman"/>
          <w:sz w:val="24"/>
          <w:szCs w:val="24"/>
          <w:lang w:val="en-US"/>
        </w:rPr>
        <w:t>the economy</w:t>
      </w:r>
      <w:r w:rsidR="008E19FB" w:rsidRPr="008210C1">
        <w:rPr>
          <w:rFonts w:ascii="Times New Roman" w:hAnsi="Times New Roman" w:cs="Times New Roman"/>
          <w:sz w:val="24"/>
          <w:szCs w:val="24"/>
          <w:lang w:val="en-US"/>
        </w:rPr>
        <w:t xml:space="preserve">. The tax allowance started for </w:t>
      </w:r>
      <w:r w:rsidR="00292D34" w:rsidRPr="008210C1">
        <w:rPr>
          <w:rFonts w:ascii="Times New Roman" w:hAnsi="Times New Roman" w:cs="Times New Roman"/>
          <w:sz w:val="24"/>
          <w:szCs w:val="24"/>
          <w:lang w:val="en-US"/>
        </w:rPr>
        <w:t xml:space="preserve">a </w:t>
      </w:r>
      <w:r w:rsidR="008E19FB" w:rsidRPr="008210C1">
        <w:rPr>
          <w:rFonts w:ascii="Times New Roman" w:hAnsi="Times New Roman" w:cs="Times New Roman"/>
          <w:sz w:val="24"/>
          <w:szCs w:val="24"/>
          <w:lang w:val="en-US"/>
        </w:rPr>
        <w:t>few sectors</w:t>
      </w:r>
      <w:r w:rsidR="00216CD0" w:rsidRPr="008210C1">
        <w:rPr>
          <w:rFonts w:ascii="Times New Roman" w:hAnsi="Times New Roman" w:cs="Times New Roman"/>
          <w:sz w:val="24"/>
          <w:szCs w:val="24"/>
          <w:lang w:val="en-US"/>
        </w:rPr>
        <w:t xml:space="preserve"> </w:t>
      </w:r>
      <w:r w:rsidR="008E19FB" w:rsidRPr="008210C1">
        <w:rPr>
          <w:rFonts w:ascii="Times New Roman" w:hAnsi="Times New Roman" w:cs="Times New Roman"/>
          <w:sz w:val="24"/>
          <w:szCs w:val="24"/>
          <w:lang w:val="en-US"/>
        </w:rPr>
        <w:t xml:space="preserve">of the manufacturing industry, but </w:t>
      </w:r>
      <w:r w:rsidR="00292D34" w:rsidRPr="008210C1">
        <w:rPr>
          <w:rFonts w:ascii="Times New Roman" w:hAnsi="Times New Roman" w:cs="Times New Roman"/>
          <w:sz w:val="24"/>
          <w:szCs w:val="24"/>
          <w:lang w:val="en-US"/>
        </w:rPr>
        <w:t xml:space="preserve">it </w:t>
      </w:r>
      <w:r w:rsidR="008E19FB" w:rsidRPr="008210C1">
        <w:rPr>
          <w:rFonts w:ascii="Times New Roman" w:hAnsi="Times New Roman" w:cs="Times New Roman"/>
          <w:sz w:val="24"/>
          <w:szCs w:val="24"/>
          <w:lang w:val="en-US"/>
        </w:rPr>
        <w:t xml:space="preserve">was spread </w:t>
      </w:r>
      <w:r w:rsidR="00292D34" w:rsidRPr="008210C1">
        <w:rPr>
          <w:rFonts w:ascii="Times New Roman" w:hAnsi="Times New Roman" w:cs="Times New Roman"/>
          <w:sz w:val="24"/>
          <w:szCs w:val="24"/>
          <w:lang w:val="en-US"/>
        </w:rPr>
        <w:t>to</w:t>
      </w:r>
      <w:r w:rsidR="008E19FB" w:rsidRPr="008210C1">
        <w:rPr>
          <w:rFonts w:ascii="Times New Roman" w:hAnsi="Times New Roman" w:cs="Times New Roman"/>
          <w:sz w:val="24"/>
          <w:szCs w:val="24"/>
          <w:lang w:val="en-US"/>
        </w:rPr>
        <w:t xml:space="preserve"> other sectors </w:t>
      </w:r>
      <w:r w:rsidR="008C5070" w:rsidRPr="008210C1">
        <w:rPr>
          <w:rFonts w:ascii="Times New Roman" w:hAnsi="Times New Roman" w:cs="Times New Roman"/>
          <w:sz w:val="24"/>
          <w:szCs w:val="24"/>
          <w:lang w:val="en-US"/>
        </w:rPr>
        <w:t>in a confused manner</w:t>
      </w:r>
      <w:r w:rsidR="0096391F" w:rsidRPr="008210C1">
        <w:rPr>
          <w:rFonts w:ascii="Times New Roman" w:hAnsi="Times New Roman" w:cs="Times New Roman"/>
          <w:sz w:val="24"/>
          <w:szCs w:val="24"/>
          <w:lang w:val="en-US"/>
        </w:rPr>
        <w:t xml:space="preserve">, </w:t>
      </w:r>
      <w:r w:rsidR="00292D34" w:rsidRPr="008210C1">
        <w:rPr>
          <w:rFonts w:ascii="Times New Roman" w:hAnsi="Times New Roman" w:cs="Times New Roman"/>
          <w:sz w:val="24"/>
          <w:szCs w:val="24"/>
          <w:lang w:val="en-US"/>
        </w:rPr>
        <w:t>following</w:t>
      </w:r>
      <w:r w:rsidR="008C5070" w:rsidRPr="008210C1">
        <w:rPr>
          <w:rFonts w:ascii="Times New Roman" w:hAnsi="Times New Roman" w:cs="Times New Roman"/>
          <w:sz w:val="24"/>
          <w:szCs w:val="24"/>
          <w:lang w:val="en-US"/>
        </w:rPr>
        <w:t xml:space="preserve"> lobb</w:t>
      </w:r>
      <w:r w:rsidR="00292D34" w:rsidRPr="008210C1">
        <w:rPr>
          <w:rFonts w:ascii="Times New Roman" w:hAnsi="Times New Roman" w:cs="Times New Roman"/>
          <w:sz w:val="24"/>
          <w:szCs w:val="24"/>
          <w:lang w:val="en-US"/>
        </w:rPr>
        <w:t>y</w:t>
      </w:r>
      <w:r w:rsidR="008C5070" w:rsidRPr="008210C1">
        <w:rPr>
          <w:rFonts w:ascii="Times New Roman" w:hAnsi="Times New Roman" w:cs="Times New Roman"/>
          <w:sz w:val="24"/>
          <w:szCs w:val="24"/>
          <w:lang w:val="en-US"/>
        </w:rPr>
        <w:t xml:space="preserve"> </w:t>
      </w:r>
      <w:r w:rsidR="00292D34" w:rsidRPr="008210C1">
        <w:rPr>
          <w:rFonts w:ascii="Times New Roman" w:hAnsi="Times New Roman" w:cs="Times New Roman"/>
          <w:sz w:val="24"/>
          <w:szCs w:val="24"/>
          <w:lang w:val="en-US"/>
        </w:rPr>
        <w:t>pressures</w:t>
      </w:r>
      <w:r w:rsidR="008C5070" w:rsidRPr="008210C1">
        <w:rPr>
          <w:rFonts w:ascii="Times New Roman" w:hAnsi="Times New Roman" w:cs="Times New Roman"/>
          <w:sz w:val="24"/>
          <w:szCs w:val="24"/>
          <w:lang w:val="en-US"/>
        </w:rPr>
        <w:t>.</w:t>
      </w:r>
      <w:r w:rsidR="00216CD0" w:rsidRPr="008210C1">
        <w:rPr>
          <w:rFonts w:ascii="Times New Roman" w:hAnsi="Times New Roman" w:cs="Times New Roman"/>
          <w:sz w:val="24"/>
          <w:szCs w:val="24"/>
          <w:lang w:val="en-US"/>
        </w:rPr>
        <w:t xml:space="preserve"> </w:t>
      </w:r>
      <w:r w:rsidR="00121C3E" w:rsidRPr="008210C1">
        <w:rPr>
          <w:rFonts w:ascii="Times New Roman" w:hAnsi="Times New Roman" w:cs="Times New Roman"/>
          <w:sz w:val="24"/>
          <w:szCs w:val="24"/>
          <w:lang w:val="en-GB"/>
        </w:rPr>
        <w:t>The lack of strategy, lobby-guided,</w:t>
      </w:r>
      <w:r w:rsidR="00121C3E" w:rsidRPr="008210C1">
        <w:rPr>
          <w:rFonts w:ascii="Times New Roman" w:hAnsi="Times New Roman" w:cs="Times New Roman"/>
          <w:sz w:val="24"/>
          <w:szCs w:val="24"/>
          <w:lang w:val="en-US"/>
        </w:rPr>
        <w:t xml:space="preserve"> and </w:t>
      </w:r>
      <w:r w:rsidR="003A6D7D" w:rsidRPr="008210C1">
        <w:rPr>
          <w:rFonts w:ascii="Times New Roman" w:hAnsi="Times New Roman" w:cs="Times New Roman"/>
          <w:sz w:val="24"/>
          <w:szCs w:val="24"/>
          <w:lang w:val="en-US"/>
        </w:rPr>
        <w:t xml:space="preserve">in a </w:t>
      </w:r>
      <w:r w:rsidR="00121C3E" w:rsidRPr="008210C1">
        <w:rPr>
          <w:rFonts w:ascii="Times New Roman" w:hAnsi="Times New Roman" w:cs="Times New Roman"/>
          <w:sz w:val="24"/>
          <w:szCs w:val="24"/>
          <w:lang w:val="en-US"/>
        </w:rPr>
        <w:t xml:space="preserve">confused manner by which </w:t>
      </w:r>
      <w:r w:rsidR="007602AD" w:rsidRPr="008210C1">
        <w:rPr>
          <w:rFonts w:ascii="Times New Roman" w:hAnsi="Times New Roman" w:cs="Times New Roman"/>
          <w:sz w:val="24"/>
          <w:szCs w:val="24"/>
          <w:lang w:val="en-US"/>
        </w:rPr>
        <w:t xml:space="preserve">the </w:t>
      </w:r>
      <w:r w:rsidR="00121C3E" w:rsidRPr="008210C1">
        <w:rPr>
          <w:rFonts w:ascii="Times New Roman" w:hAnsi="Times New Roman" w:cs="Times New Roman"/>
          <w:sz w:val="24"/>
          <w:szCs w:val="24"/>
          <w:lang w:val="en-US"/>
        </w:rPr>
        <w:t>tax allowance policy was implemented</w:t>
      </w:r>
      <w:r w:rsidR="003A6D7D" w:rsidRPr="008210C1">
        <w:rPr>
          <w:rFonts w:ascii="Times New Roman" w:hAnsi="Times New Roman" w:cs="Times New Roman"/>
          <w:sz w:val="24"/>
          <w:szCs w:val="24"/>
          <w:lang w:val="en-US"/>
        </w:rPr>
        <w:t>,</w:t>
      </w:r>
      <w:r w:rsidR="00121C3E" w:rsidRPr="008210C1">
        <w:rPr>
          <w:rFonts w:ascii="Times New Roman" w:hAnsi="Times New Roman" w:cs="Times New Roman"/>
          <w:sz w:val="24"/>
          <w:szCs w:val="24"/>
          <w:lang w:val="en-GB"/>
        </w:rPr>
        <w:t xml:space="preserve"> jeopardize</w:t>
      </w:r>
      <w:r w:rsidR="007602AD" w:rsidRPr="008210C1">
        <w:rPr>
          <w:rFonts w:ascii="Times New Roman" w:hAnsi="Times New Roman" w:cs="Times New Roman"/>
          <w:sz w:val="24"/>
          <w:szCs w:val="24"/>
          <w:lang w:val="en-GB"/>
        </w:rPr>
        <w:t>d</w:t>
      </w:r>
      <w:r w:rsidR="00121C3E" w:rsidRPr="008210C1">
        <w:rPr>
          <w:rFonts w:ascii="Times New Roman" w:hAnsi="Times New Roman" w:cs="Times New Roman"/>
          <w:sz w:val="24"/>
          <w:szCs w:val="24"/>
          <w:lang w:val="en-GB"/>
        </w:rPr>
        <w:t xml:space="preserve"> optimistic conventions</w:t>
      </w:r>
      <w:r w:rsidR="00121C3E" w:rsidRPr="008210C1">
        <w:rPr>
          <w:rFonts w:ascii="Times New Roman" w:hAnsi="Times New Roman" w:cs="Times New Roman"/>
          <w:sz w:val="24"/>
          <w:szCs w:val="24"/>
          <w:lang w:val="en-US"/>
        </w:rPr>
        <w:t>.</w:t>
      </w:r>
    </w:p>
    <w:p w:rsidR="002162C7" w:rsidRDefault="00AB35DB"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Moreover, in 2011 Rousseff launched the second phase of the </w:t>
      </w:r>
      <w:r w:rsidRPr="008210C1">
        <w:rPr>
          <w:rFonts w:ascii="Times New Roman" w:hAnsi="Times New Roman" w:cs="Times New Roman"/>
          <w:i/>
          <w:sz w:val="24"/>
          <w:szCs w:val="24"/>
          <w:lang w:val="en-US"/>
        </w:rPr>
        <w:t>Program for Growth Acceleration</w:t>
      </w:r>
      <w:r w:rsidR="002162C7" w:rsidRPr="008210C1">
        <w:rPr>
          <w:rFonts w:ascii="Times New Roman" w:hAnsi="Times New Roman" w:cs="Times New Roman"/>
          <w:sz w:val="24"/>
          <w:szCs w:val="24"/>
          <w:lang w:val="en-US"/>
        </w:rPr>
        <w:t xml:space="preserve"> (PAC</w:t>
      </w:r>
      <w:r w:rsidR="0096391F" w:rsidRPr="008210C1">
        <w:rPr>
          <w:rFonts w:ascii="Times New Roman" w:hAnsi="Times New Roman" w:cs="Times New Roman"/>
          <w:sz w:val="24"/>
          <w:szCs w:val="24"/>
          <w:lang w:val="en-US"/>
        </w:rPr>
        <w:t xml:space="preserve">), </w:t>
      </w:r>
      <w:r w:rsidR="0096391F" w:rsidRPr="008210C1">
        <w:rPr>
          <w:rFonts w:ascii="Times New Roman" w:eastAsia="Times New Roman" w:hAnsi="Times New Roman" w:cs="Times New Roman"/>
          <w:sz w:val="24"/>
          <w:szCs w:val="24"/>
          <w:lang w:val="en-US" w:eastAsia="pt-BR"/>
        </w:rPr>
        <w:t>a</w:t>
      </w:r>
      <w:r w:rsidR="002162C7" w:rsidRPr="008210C1">
        <w:rPr>
          <w:rFonts w:ascii="Times New Roman" w:eastAsia="Times New Roman" w:hAnsi="Times New Roman" w:cs="Times New Roman"/>
          <w:sz w:val="24"/>
          <w:szCs w:val="24"/>
          <w:lang w:val="en-US" w:eastAsia="pt-BR"/>
        </w:rPr>
        <w:t xml:space="preserve"> </w:t>
      </w:r>
      <w:r w:rsidR="0096391F" w:rsidRPr="008210C1">
        <w:rPr>
          <w:rFonts w:ascii="Times New Roman" w:eastAsia="Times New Roman" w:hAnsi="Times New Roman" w:cs="Times New Roman"/>
          <w:sz w:val="24"/>
          <w:szCs w:val="24"/>
          <w:lang w:val="en-US" w:eastAsia="pt-BR"/>
        </w:rPr>
        <w:t xml:space="preserve">four-year </w:t>
      </w:r>
      <w:r w:rsidR="002162C7" w:rsidRPr="008210C1">
        <w:rPr>
          <w:rFonts w:ascii="Times New Roman" w:eastAsia="Times New Roman" w:hAnsi="Times New Roman" w:cs="Times New Roman"/>
          <w:sz w:val="24"/>
          <w:szCs w:val="24"/>
          <w:lang w:val="en-US" w:eastAsia="pt-BR"/>
        </w:rPr>
        <w:t>plan</w:t>
      </w:r>
      <w:r w:rsidR="0096391F" w:rsidRPr="008210C1">
        <w:rPr>
          <w:rFonts w:ascii="Times New Roman" w:eastAsia="Times New Roman" w:hAnsi="Times New Roman" w:cs="Times New Roman"/>
          <w:sz w:val="24"/>
          <w:szCs w:val="24"/>
          <w:lang w:val="en-US" w:eastAsia="pt-BR"/>
        </w:rPr>
        <w:t xml:space="preserve"> </w:t>
      </w:r>
      <w:r w:rsidR="0024493E" w:rsidRPr="008210C1">
        <w:rPr>
          <w:rFonts w:ascii="Times New Roman" w:eastAsia="Times New Roman" w:hAnsi="Times New Roman" w:cs="Times New Roman"/>
          <w:sz w:val="24"/>
          <w:szCs w:val="24"/>
          <w:lang w:val="en-US" w:eastAsia="pt-BR"/>
        </w:rPr>
        <w:t>of</w:t>
      </w:r>
      <w:r w:rsidR="002162C7" w:rsidRPr="008210C1">
        <w:rPr>
          <w:rFonts w:ascii="Times New Roman" w:eastAsia="Times New Roman" w:hAnsi="Times New Roman" w:cs="Times New Roman"/>
          <w:sz w:val="24"/>
          <w:szCs w:val="24"/>
          <w:lang w:val="en-US" w:eastAsia="pt-BR"/>
        </w:rPr>
        <w:t xml:space="preserve"> public investments mainly in infrastructure (such as public sanitation, housing, transports, energy and hydric resources). The Program </w:t>
      </w:r>
      <w:r w:rsidR="003A6D7D" w:rsidRPr="008210C1">
        <w:rPr>
          <w:rFonts w:ascii="Times New Roman" w:eastAsia="Times New Roman" w:hAnsi="Times New Roman" w:cs="Times New Roman"/>
          <w:sz w:val="24"/>
          <w:szCs w:val="24"/>
          <w:lang w:val="en-US" w:eastAsia="pt-BR"/>
        </w:rPr>
        <w:t>had</w:t>
      </w:r>
      <w:r w:rsidR="002162C7" w:rsidRPr="008210C1">
        <w:rPr>
          <w:rFonts w:ascii="Times New Roman" w:eastAsia="Times New Roman" w:hAnsi="Times New Roman" w:cs="Times New Roman"/>
          <w:sz w:val="24"/>
          <w:szCs w:val="24"/>
          <w:lang w:val="en-US" w:eastAsia="pt-BR"/>
        </w:rPr>
        <w:t xml:space="preserve"> features of a Keynesian investment policy as it was a plan of public investments, previously announced</w:t>
      </w:r>
      <w:r w:rsidR="00216CD0" w:rsidRPr="008210C1">
        <w:rPr>
          <w:rFonts w:ascii="Times New Roman" w:eastAsia="Times New Roman" w:hAnsi="Times New Roman" w:cs="Times New Roman"/>
          <w:sz w:val="24"/>
          <w:szCs w:val="24"/>
          <w:lang w:val="en-US" w:eastAsia="pt-BR"/>
        </w:rPr>
        <w:t xml:space="preserve"> </w:t>
      </w:r>
      <w:r w:rsidR="002162C7" w:rsidRPr="008210C1">
        <w:rPr>
          <w:rFonts w:ascii="Times New Roman" w:eastAsia="Times New Roman" w:hAnsi="Times New Roman" w:cs="Times New Roman"/>
          <w:sz w:val="24"/>
          <w:szCs w:val="24"/>
          <w:lang w:val="en-US" w:eastAsia="pt-BR"/>
        </w:rPr>
        <w:t>to the public opinion, lasting for the medium term and could be used in a counter cyclical manner.</w:t>
      </w:r>
      <w:r w:rsidR="00210B23" w:rsidRPr="008210C1">
        <w:rPr>
          <w:rFonts w:ascii="Times New Roman" w:eastAsia="Times New Roman" w:hAnsi="Times New Roman" w:cs="Times New Roman"/>
          <w:sz w:val="24"/>
          <w:szCs w:val="24"/>
          <w:lang w:val="en-US" w:eastAsia="pt-BR"/>
        </w:rPr>
        <w:t xml:space="preserve"> </w:t>
      </w:r>
      <w:r w:rsidR="00BA4539" w:rsidRPr="008210C1">
        <w:rPr>
          <w:rFonts w:ascii="Times New Roman" w:hAnsi="Times New Roman" w:cs="Times New Roman"/>
          <w:sz w:val="24"/>
          <w:szCs w:val="24"/>
          <w:lang w:val="en-US"/>
        </w:rPr>
        <w:t>The</w:t>
      </w:r>
      <w:r w:rsidR="002162C7" w:rsidRPr="008210C1">
        <w:rPr>
          <w:rFonts w:ascii="Times New Roman" w:hAnsi="Times New Roman" w:cs="Times New Roman"/>
          <w:sz w:val="24"/>
          <w:szCs w:val="24"/>
          <w:lang w:val="en-US"/>
        </w:rPr>
        <w:t xml:space="preserve"> PAC</w:t>
      </w:r>
      <w:r w:rsidR="00BA4539" w:rsidRPr="008210C1">
        <w:rPr>
          <w:rFonts w:ascii="Times New Roman" w:hAnsi="Times New Roman" w:cs="Times New Roman"/>
          <w:sz w:val="24"/>
          <w:szCs w:val="24"/>
          <w:lang w:val="en-US"/>
        </w:rPr>
        <w:t xml:space="preserve"> was expected </w:t>
      </w:r>
      <w:r w:rsidR="00BA4539" w:rsidRPr="008210C1">
        <w:rPr>
          <w:rFonts w:ascii="Times New Roman" w:eastAsia="Times New Roman" w:hAnsi="Times New Roman" w:cs="Times New Roman"/>
          <w:sz w:val="24"/>
          <w:szCs w:val="24"/>
          <w:lang w:val="en-US" w:eastAsia="pt-BR"/>
        </w:rPr>
        <w:t xml:space="preserve">to flag the government guaranteeing a minimum level of future aggregate demand and improvement of infrastructure. </w:t>
      </w:r>
      <w:r w:rsidR="00BA4539" w:rsidRPr="008210C1">
        <w:rPr>
          <w:rFonts w:ascii="Times New Roman" w:hAnsi="Times New Roman" w:cs="Times New Roman"/>
          <w:sz w:val="24"/>
          <w:szCs w:val="24"/>
          <w:lang w:val="en-US"/>
        </w:rPr>
        <w:t xml:space="preserve">Altogether, it would </w:t>
      </w:r>
      <w:r w:rsidR="002162C7" w:rsidRPr="008210C1">
        <w:rPr>
          <w:rFonts w:ascii="Times New Roman" w:hAnsi="Times New Roman" w:cs="Times New Roman"/>
          <w:sz w:val="24"/>
          <w:szCs w:val="24"/>
          <w:lang w:val="en-US"/>
        </w:rPr>
        <w:t xml:space="preserve">beckon conventions </w:t>
      </w:r>
      <w:r w:rsidR="00B32370" w:rsidRPr="008210C1">
        <w:rPr>
          <w:rFonts w:ascii="Times New Roman" w:hAnsi="Times New Roman" w:cs="Times New Roman"/>
          <w:sz w:val="24"/>
          <w:szCs w:val="24"/>
          <w:lang w:val="en-US"/>
        </w:rPr>
        <w:t>supporting</w:t>
      </w:r>
      <w:r w:rsidR="00216CD0" w:rsidRPr="008210C1">
        <w:rPr>
          <w:rFonts w:ascii="Times New Roman" w:hAnsi="Times New Roman" w:cs="Times New Roman"/>
          <w:sz w:val="24"/>
          <w:szCs w:val="24"/>
          <w:lang w:val="en-US"/>
        </w:rPr>
        <w:t xml:space="preserve"> </w:t>
      </w:r>
      <w:r w:rsidR="002162C7" w:rsidRPr="008210C1">
        <w:rPr>
          <w:rFonts w:ascii="Times New Roman" w:hAnsi="Times New Roman" w:cs="Times New Roman"/>
          <w:sz w:val="24"/>
          <w:szCs w:val="24"/>
          <w:lang w:val="en-US"/>
        </w:rPr>
        <w:t>optimistic expectations that encourage investments</w:t>
      </w:r>
      <w:r w:rsidR="00D84E0C" w:rsidRPr="008210C1">
        <w:rPr>
          <w:rFonts w:ascii="Times New Roman" w:hAnsi="Times New Roman" w:cs="Times New Roman"/>
          <w:sz w:val="24"/>
          <w:szCs w:val="24"/>
          <w:lang w:val="en-US"/>
        </w:rPr>
        <w:t>, however, ec</w:t>
      </w:r>
      <w:r w:rsidR="002162C7" w:rsidRPr="008210C1">
        <w:rPr>
          <w:rFonts w:ascii="Times New Roman" w:hAnsi="Times New Roman" w:cs="Times New Roman"/>
          <w:sz w:val="24"/>
          <w:szCs w:val="24"/>
          <w:lang w:val="en-US"/>
        </w:rPr>
        <w:t xml:space="preserve">onomic and political problems avoided </w:t>
      </w:r>
      <w:r w:rsidR="00D84E0C" w:rsidRPr="008210C1">
        <w:rPr>
          <w:rFonts w:ascii="Times New Roman" w:hAnsi="Times New Roman" w:cs="Times New Roman"/>
          <w:sz w:val="24"/>
          <w:szCs w:val="24"/>
          <w:lang w:val="en-US"/>
        </w:rPr>
        <w:t>it</w:t>
      </w:r>
      <w:r w:rsidR="00357792" w:rsidRPr="008210C1">
        <w:rPr>
          <w:rFonts w:ascii="Times New Roman" w:hAnsi="Times New Roman" w:cs="Times New Roman"/>
          <w:sz w:val="24"/>
          <w:szCs w:val="24"/>
          <w:lang w:val="en-US"/>
        </w:rPr>
        <w:t>.</w:t>
      </w:r>
      <w:r w:rsidR="002162C7" w:rsidRPr="008210C1">
        <w:rPr>
          <w:rFonts w:ascii="Times New Roman" w:hAnsi="Times New Roman" w:cs="Times New Roman"/>
          <w:sz w:val="24"/>
          <w:szCs w:val="24"/>
          <w:lang w:val="en-US"/>
        </w:rPr>
        <w:t xml:space="preserve"> Resende et al</w:t>
      </w:r>
      <w:r w:rsidR="003A6D7D" w:rsidRPr="008210C1">
        <w:rPr>
          <w:rFonts w:ascii="Times New Roman" w:hAnsi="Times New Roman" w:cs="Times New Roman"/>
          <w:sz w:val="24"/>
          <w:szCs w:val="24"/>
          <w:lang w:val="en-US"/>
        </w:rPr>
        <w:t>.</w:t>
      </w:r>
      <w:r w:rsidR="002162C7" w:rsidRPr="008210C1">
        <w:rPr>
          <w:rFonts w:ascii="Times New Roman" w:hAnsi="Times New Roman" w:cs="Times New Roman"/>
          <w:sz w:val="24"/>
          <w:szCs w:val="24"/>
          <w:lang w:val="en-US"/>
        </w:rPr>
        <w:t xml:space="preserve"> (2013) explain</w:t>
      </w:r>
      <w:r w:rsidR="00A51FC1">
        <w:rPr>
          <w:rFonts w:ascii="Times New Roman" w:hAnsi="Times New Roman" w:cs="Times New Roman"/>
          <w:sz w:val="24"/>
          <w:szCs w:val="24"/>
          <w:lang w:val="en-US"/>
        </w:rPr>
        <w:t>:</w:t>
      </w:r>
    </w:p>
    <w:p w:rsidR="00A51FC1" w:rsidRPr="008210C1" w:rsidRDefault="00A51FC1" w:rsidP="008210C1">
      <w:pPr>
        <w:spacing w:after="0" w:line="240" w:lineRule="auto"/>
        <w:ind w:firstLine="709"/>
        <w:jc w:val="both"/>
        <w:rPr>
          <w:rFonts w:ascii="Times New Roman" w:eastAsia="Times New Roman" w:hAnsi="Times New Roman" w:cs="Times New Roman"/>
          <w:sz w:val="24"/>
          <w:szCs w:val="24"/>
          <w:lang w:val="en-US" w:eastAsia="pt-BR"/>
        </w:rPr>
      </w:pPr>
    </w:p>
    <w:p w:rsidR="002162C7" w:rsidRPr="008210C1" w:rsidRDefault="00126E85" w:rsidP="008210C1">
      <w:pPr>
        <w:spacing w:line="240" w:lineRule="auto"/>
        <w:ind w:left="226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w:t>
      </w:r>
      <w:r w:rsidR="002162C7" w:rsidRPr="008210C1">
        <w:rPr>
          <w:rFonts w:ascii="Times New Roman" w:hAnsi="Times New Roman" w:cs="Times New Roman"/>
          <w:sz w:val="24"/>
          <w:szCs w:val="24"/>
          <w:lang w:val="en-US"/>
        </w:rPr>
        <w:t>the rules of spending public resources, the managerial State capacity, institutional norms</w:t>
      </w:r>
      <w:r w:rsidR="00BA1753" w:rsidRPr="008210C1">
        <w:rPr>
          <w:rFonts w:ascii="Times New Roman" w:hAnsi="Times New Roman" w:cs="Times New Roman"/>
          <w:sz w:val="24"/>
          <w:szCs w:val="24"/>
          <w:lang w:val="en-US"/>
        </w:rPr>
        <w:t xml:space="preserve"> </w:t>
      </w:r>
      <w:r w:rsidR="002162C7" w:rsidRPr="008210C1">
        <w:rPr>
          <w:rFonts w:ascii="Times New Roman" w:hAnsi="Times New Roman" w:cs="Times New Roman"/>
          <w:sz w:val="24"/>
          <w:szCs w:val="24"/>
          <w:lang w:val="en-US"/>
        </w:rPr>
        <w:t>and legal framework that set a relatively bureaucratic structure to the Brazilian National State and make it hard the exp</w:t>
      </w:r>
      <w:r w:rsidR="001A7009" w:rsidRPr="008210C1">
        <w:rPr>
          <w:rFonts w:ascii="Times New Roman" w:hAnsi="Times New Roman" w:cs="Times New Roman"/>
          <w:sz w:val="24"/>
          <w:szCs w:val="24"/>
          <w:lang w:val="en-US"/>
        </w:rPr>
        <w:t>ansion of the public outgoings</w:t>
      </w:r>
      <w:r w:rsidR="002162C7" w:rsidRPr="008210C1">
        <w:rPr>
          <w:rFonts w:ascii="Times New Roman" w:hAnsi="Times New Roman" w:cs="Times New Roman"/>
          <w:sz w:val="24"/>
          <w:szCs w:val="24"/>
          <w:lang w:val="en-US"/>
        </w:rPr>
        <w:t xml:space="preserve"> </w:t>
      </w:r>
      <w:r w:rsidR="0033449E" w:rsidRPr="008210C1">
        <w:rPr>
          <w:rFonts w:ascii="Times New Roman" w:hAnsi="Times New Roman" w:cs="Times New Roman"/>
          <w:sz w:val="24"/>
          <w:szCs w:val="24"/>
          <w:lang w:val="en-US"/>
        </w:rPr>
        <w:t>(</w:t>
      </w:r>
      <w:proofErr w:type="gramStart"/>
      <w:r w:rsidR="002162C7" w:rsidRPr="008210C1">
        <w:rPr>
          <w:rFonts w:ascii="Times New Roman" w:hAnsi="Times New Roman" w:cs="Times New Roman"/>
          <w:sz w:val="24"/>
          <w:szCs w:val="24"/>
          <w:lang w:val="en-US"/>
        </w:rPr>
        <w:t>in particular, investment</w:t>
      </w:r>
      <w:r w:rsidR="001A7009" w:rsidRPr="008210C1">
        <w:rPr>
          <w:rFonts w:ascii="Times New Roman" w:hAnsi="Times New Roman" w:cs="Times New Roman"/>
          <w:sz w:val="24"/>
          <w:szCs w:val="24"/>
          <w:lang w:val="en-US"/>
        </w:rPr>
        <w:t>s</w:t>
      </w:r>
      <w:proofErr w:type="gramEnd"/>
      <w:r w:rsidR="0033449E" w:rsidRPr="008210C1">
        <w:rPr>
          <w:rFonts w:ascii="Times New Roman" w:hAnsi="Times New Roman" w:cs="Times New Roman"/>
          <w:sz w:val="24"/>
          <w:szCs w:val="24"/>
          <w:lang w:val="en-US"/>
        </w:rPr>
        <w:t>),</w:t>
      </w:r>
      <w:r w:rsidR="002162C7" w:rsidRPr="008210C1">
        <w:rPr>
          <w:rFonts w:ascii="Times New Roman" w:hAnsi="Times New Roman" w:cs="Times New Roman"/>
          <w:sz w:val="24"/>
          <w:szCs w:val="24"/>
          <w:lang w:val="en-US"/>
        </w:rPr>
        <w:t xml:space="preserve"> the bidding process and the public-private partnerships.</w:t>
      </w:r>
      <w:r w:rsidR="00606E85" w:rsidRPr="008210C1">
        <w:rPr>
          <w:rFonts w:ascii="Times New Roman" w:hAnsi="Times New Roman" w:cs="Times New Roman"/>
          <w:sz w:val="24"/>
          <w:szCs w:val="24"/>
          <w:lang w:val="en-US"/>
        </w:rPr>
        <w:t xml:space="preserve"> B</w:t>
      </w:r>
      <w:r w:rsidR="002162C7" w:rsidRPr="008210C1">
        <w:rPr>
          <w:rFonts w:ascii="Times New Roman" w:hAnsi="Times New Roman" w:cs="Times New Roman"/>
          <w:sz w:val="24"/>
          <w:szCs w:val="24"/>
          <w:lang w:val="en-US"/>
        </w:rPr>
        <w:t xml:space="preserve">eyond of not </w:t>
      </w:r>
      <w:r w:rsidR="00606E85" w:rsidRPr="008210C1">
        <w:rPr>
          <w:rFonts w:ascii="Times New Roman" w:hAnsi="Times New Roman" w:cs="Times New Roman"/>
          <w:sz w:val="24"/>
          <w:szCs w:val="24"/>
          <w:lang w:val="en-US"/>
        </w:rPr>
        <w:t>making</w:t>
      </w:r>
      <w:r w:rsidR="002162C7" w:rsidRPr="008210C1">
        <w:rPr>
          <w:rFonts w:ascii="Times New Roman" w:hAnsi="Times New Roman" w:cs="Times New Roman"/>
          <w:sz w:val="24"/>
          <w:szCs w:val="24"/>
          <w:lang w:val="en-US"/>
        </w:rPr>
        <w:t xml:space="preserve"> several of its endeavors, </w:t>
      </w:r>
      <w:r w:rsidR="00606E85" w:rsidRPr="008210C1">
        <w:rPr>
          <w:rFonts w:ascii="Times New Roman" w:hAnsi="Times New Roman" w:cs="Times New Roman"/>
          <w:sz w:val="24"/>
          <w:szCs w:val="24"/>
          <w:lang w:val="en-US"/>
        </w:rPr>
        <w:t>PAC</w:t>
      </w:r>
      <w:r w:rsidR="002162C7" w:rsidRPr="008210C1">
        <w:rPr>
          <w:rFonts w:ascii="Times New Roman" w:hAnsi="Times New Roman" w:cs="Times New Roman"/>
          <w:sz w:val="24"/>
          <w:szCs w:val="24"/>
          <w:lang w:val="en-US"/>
        </w:rPr>
        <w:t xml:space="preserve"> did not imply a substantial increasing in the public investment, which standstill around 2.5% of the GDP. Moreover, given the </w:t>
      </w:r>
      <w:proofErr w:type="gramStart"/>
      <w:r w:rsidR="002162C7" w:rsidRPr="008210C1">
        <w:rPr>
          <w:rFonts w:ascii="Times New Roman" w:hAnsi="Times New Roman" w:cs="Times New Roman"/>
          <w:sz w:val="24"/>
          <w:szCs w:val="24"/>
          <w:lang w:val="en-US"/>
        </w:rPr>
        <w:t>public sector</w:t>
      </w:r>
      <w:proofErr w:type="gramEnd"/>
      <w:r w:rsidR="002162C7" w:rsidRPr="008210C1">
        <w:rPr>
          <w:rFonts w:ascii="Times New Roman" w:hAnsi="Times New Roman" w:cs="Times New Roman"/>
          <w:sz w:val="24"/>
          <w:szCs w:val="24"/>
          <w:lang w:val="en-US"/>
        </w:rPr>
        <w:t xml:space="preserve"> primary surplus target, there is no available resources for a</w:t>
      </w:r>
      <w:r w:rsidR="00BA1753" w:rsidRPr="008210C1">
        <w:rPr>
          <w:rFonts w:ascii="Times New Roman" w:hAnsi="Times New Roman" w:cs="Times New Roman"/>
          <w:sz w:val="24"/>
          <w:szCs w:val="24"/>
          <w:lang w:val="en-US"/>
        </w:rPr>
        <w:t xml:space="preserve"> </w:t>
      </w:r>
      <w:r w:rsidR="002162C7" w:rsidRPr="008210C1">
        <w:rPr>
          <w:rFonts w:ascii="Times New Roman" w:hAnsi="Times New Roman" w:cs="Times New Roman"/>
          <w:sz w:val="24"/>
          <w:szCs w:val="24"/>
          <w:lang w:val="en-US"/>
        </w:rPr>
        <w:t>reasonable enhancement of the State capability of investing. Neither the government presents an organized capital budget, capable of fulfilling the gaps of the private investment and assuring the heightening of the infrastructure, competitiveness of the domestic prod</w:t>
      </w:r>
      <w:r w:rsidR="00333B39" w:rsidRPr="008210C1">
        <w:rPr>
          <w:rFonts w:ascii="Times New Roman" w:hAnsi="Times New Roman" w:cs="Times New Roman"/>
          <w:sz w:val="24"/>
          <w:szCs w:val="24"/>
          <w:lang w:val="en-US"/>
        </w:rPr>
        <w:t xml:space="preserve">ucts, positive expectations </w:t>
      </w:r>
      <w:r w:rsidR="00B61BAE" w:rsidRPr="008210C1">
        <w:rPr>
          <w:rFonts w:ascii="Times New Roman" w:hAnsi="Times New Roman" w:cs="Times New Roman"/>
          <w:sz w:val="24"/>
          <w:szCs w:val="24"/>
          <w:lang w:val="en-US"/>
        </w:rPr>
        <w:t>of</w:t>
      </w:r>
      <w:r w:rsidR="00BA1753" w:rsidRPr="008210C1">
        <w:rPr>
          <w:rFonts w:ascii="Times New Roman" w:hAnsi="Times New Roman" w:cs="Times New Roman"/>
          <w:sz w:val="24"/>
          <w:szCs w:val="24"/>
          <w:lang w:val="en-US"/>
        </w:rPr>
        <w:t xml:space="preserve"> </w:t>
      </w:r>
      <w:r w:rsidR="00333B39" w:rsidRPr="008210C1">
        <w:rPr>
          <w:rFonts w:ascii="Times New Roman" w:hAnsi="Times New Roman" w:cs="Times New Roman"/>
          <w:sz w:val="24"/>
          <w:szCs w:val="24"/>
          <w:lang w:val="en-US"/>
        </w:rPr>
        <w:t xml:space="preserve">future </w:t>
      </w:r>
      <w:r w:rsidR="0033589F" w:rsidRPr="008210C1">
        <w:rPr>
          <w:rFonts w:ascii="Times New Roman" w:hAnsi="Times New Roman" w:cs="Times New Roman"/>
          <w:sz w:val="24"/>
          <w:szCs w:val="24"/>
          <w:lang w:val="en-US"/>
        </w:rPr>
        <w:t xml:space="preserve">income and aggregate demand […] </w:t>
      </w:r>
      <w:r w:rsidR="002162C7" w:rsidRPr="008210C1">
        <w:rPr>
          <w:rFonts w:ascii="Times New Roman" w:hAnsi="Times New Roman" w:cs="Times New Roman"/>
          <w:sz w:val="24"/>
          <w:szCs w:val="24"/>
          <w:lang w:val="en-US"/>
        </w:rPr>
        <w:t xml:space="preserve">public investment is not </w:t>
      </w:r>
      <w:r w:rsidR="0033589F" w:rsidRPr="008210C1">
        <w:rPr>
          <w:rFonts w:ascii="Times New Roman" w:hAnsi="Times New Roman" w:cs="Times New Roman"/>
          <w:sz w:val="24"/>
          <w:szCs w:val="24"/>
          <w:lang w:val="en-US"/>
        </w:rPr>
        <w:t>made</w:t>
      </w:r>
      <w:r w:rsidR="002162C7" w:rsidRPr="008210C1">
        <w:rPr>
          <w:rFonts w:ascii="Times New Roman" w:hAnsi="Times New Roman" w:cs="Times New Roman"/>
          <w:sz w:val="24"/>
          <w:szCs w:val="24"/>
          <w:lang w:val="en-US"/>
        </w:rPr>
        <w:t xml:space="preserve"> in a planned and transparent mood to coordinate the expectations and strategies of private investment</w:t>
      </w:r>
      <w:r w:rsidR="0033589F" w:rsidRPr="008210C1">
        <w:rPr>
          <w:rFonts w:ascii="Times New Roman" w:hAnsi="Times New Roman" w:cs="Times New Roman"/>
          <w:sz w:val="24"/>
          <w:szCs w:val="24"/>
          <w:lang w:val="en-US"/>
        </w:rPr>
        <w:t xml:space="preserve">s” </w:t>
      </w:r>
      <w:r w:rsidR="002162C7" w:rsidRPr="008210C1">
        <w:rPr>
          <w:rFonts w:ascii="Times New Roman" w:hAnsi="Times New Roman" w:cs="Times New Roman"/>
          <w:sz w:val="24"/>
          <w:szCs w:val="24"/>
          <w:lang w:val="en-US"/>
        </w:rPr>
        <w:t>(</w:t>
      </w:r>
      <w:r w:rsidR="003A6D7D" w:rsidRPr="008210C1">
        <w:rPr>
          <w:rFonts w:ascii="Times New Roman" w:hAnsi="Times New Roman" w:cs="Times New Roman"/>
          <w:sz w:val="24"/>
          <w:szCs w:val="24"/>
          <w:lang w:val="en-US"/>
        </w:rPr>
        <w:t>p</w:t>
      </w:r>
      <w:r w:rsidR="002162C7" w:rsidRPr="008210C1">
        <w:rPr>
          <w:rFonts w:ascii="Times New Roman" w:hAnsi="Times New Roman" w:cs="Times New Roman"/>
          <w:sz w:val="24"/>
          <w:szCs w:val="24"/>
          <w:lang w:val="en-US"/>
        </w:rPr>
        <w:t xml:space="preserve">p. 106-107). </w:t>
      </w:r>
    </w:p>
    <w:p w:rsidR="00121C3E" w:rsidRPr="008210C1" w:rsidRDefault="001B1B35" w:rsidP="008210C1">
      <w:pPr>
        <w:spacing w:after="0" w:line="240" w:lineRule="auto"/>
        <w:ind w:firstLine="709"/>
        <w:jc w:val="both"/>
        <w:rPr>
          <w:rFonts w:ascii="Times New Roman" w:hAnsi="Times New Roman" w:cs="Times New Roman"/>
          <w:sz w:val="24"/>
          <w:szCs w:val="24"/>
          <w:lang w:val="en-GB"/>
        </w:rPr>
      </w:pPr>
      <w:r w:rsidRPr="008210C1">
        <w:rPr>
          <w:rFonts w:ascii="Times New Roman" w:hAnsi="Times New Roman" w:cs="Times New Roman"/>
          <w:sz w:val="24"/>
          <w:szCs w:val="24"/>
          <w:lang w:val="en-GB"/>
        </w:rPr>
        <w:t xml:space="preserve">Hence, </w:t>
      </w:r>
      <w:r w:rsidR="00BA4539" w:rsidRPr="008210C1">
        <w:rPr>
          <w:rFonts w:ascii="Times New Roman" w:hAnsi="Times New Roman" w:cs="Times New Roman"/>
          <w:sz w:val="24"/>
          <w:szCs w:val="24"/>
          <w:lang w:val="en-GB"/>
        </w:rPr>
        <w:t xml:space="preserve">the </w:t>
      </w:r>
      <w:r w:rsidR="00D84E0C" w:rsidRPr="008210C1">
        <w:rPr>
          <w:rFonts w:ascii="Times New Roman" w:hAnsi="Times New Roman" w:cs="Times New Roman"/>
          <w:sz w:val="24"/>
          <w:szCs w:val="24"/>
          <w:lang w:val="en-GB"/>
        </w:rPr>
        <w:t>FP</w:t>
      </w:r>
      <w:r w:rsidR="00BA4539" w:rsidRPr="008210C1">
        <w:rPr>
          <w:rFonts w:ascii="Times New Roman" w:hAnsi="Times New Roman" w:cs="Times New Roman"/>
          <w:sz w:val="24"/>
          <w:szCs w:val="24"/>
          <w:lang w:val="en-GB"/>
        </w:rPr>
        <w:t xml:space="preserve"> issued </w:t>
      </w:r>
      <w:r w:rsidRPr="008210C1">
        <w:rPr>
          <w:rFonts w:ascii="Times New Roman" w:hAnsi="Times New Roman" w:cs="Times New Roman"/>
          <w:sz w:val="24"/>
          <w:szCs w:val="24"/>
          <w:lang w:val="en-GB"/>
        </w:rPr>
        <w:t xml:space="preserve">contradictory </w:t>
      </w:r>
      <w:r w:rsidR="00BA4539" w:rsidRPr="008210C1">
        <w:rPr>
          <w:rFonts w:ascii="Times New Roman" w:hAnsi="Times New Roman" w:cs="Times New Roman"/>
          <w:sz w:val="24"/>
          <w:szCs w:val="24"/>
          <w:lang w:val="en-GB"/>
        </w:rPr>
        <w:t>signals. It</w:t>
      </w:r>
      <w:r w:rsidRPr="008210C1">
        <w:rPr>
          <w:rFonts w:ascii="Times New Roman" w:hAnsi="Times New Roman" w:cs="Times New Roman"/>
          <w:sz w:val="24"/>
          <w:szCs w:val="24"/>
          <w:lang w:val="en-GB"/>
        </w:rPr>
        <w:t xml:space="preserve"> both pursued primary surpluses instead of effective counter cyclical outgoings and had an ambitious program of investment that, if fully accomplished, would</w:t>
      </w:r>
      <w:r w:rsidR="00AD5497" w:rsidRPr="008210C1">
        <w:rPr>
          <w:rFonts w:ascii="Times New Roman" w:hAnsi="Times New Roman" w:cs="Times New Roman"/>
          <w:sz w:val="24"/>
          <w:szCs w:val="24"/>
          <w:lang w:val="en-GB"/>
        </w:rPr>
        <w:t xml:space="preserve"> jeopardize the primary surplus</w:t>
      </w:r>
      <w:r w:rsidR="003A6D7D" w:rsidRPr="008210C1">
        <w:rPr>
          <w:rFonts w:ascii="Times New Roman" w:hAnsi="Times New Roman" w:cs="Times New Roman"/>
          <w:sz w:val="24"/>
          <w:szCs w:val="24"/>
          <w:lang w:val="en-GB"/>
        </w:rPr>
        <w:t xml:space="preserve">, </w:t>
      </w:r>
      <w:r w:rsidR="00AD5497" w:rsidRPr="008210C1">
        <w:rPr>
          <w:rFonts w:ascii="Times New Roman" w:hAnsi="Times New Roman" w:cs="Times New Roman"/>
          <w:sz w:val="24"/>
          <w:szCs w:val="24"/>
          <w:lang w:val="en-GB"/>
        </w:rPr>
        <w:t>a</w:t>
      </w:r>
      <w:r w:rsidR="00BA4539" w:rsidRPr="008210C1">
        <w:rPr>
          <w:rFonts w:ascii="Times New Roman" w:eastAsia="Times New Roman" w:hAnsi="Times New Roman" w:cs="Times New Roman"/>
          <w:sz w:val="24"/>
          <w:szCs w:val="24"/>
          <w:lang w:val="en-US" w:eastAsia="pt-BR"/>
        </w:rPr>
        <w:t>though</w:t>
      </w:r>
      <w:r w:rsidR="00B60260" w:rsidRPr="008210C1">
        <w:rPr>
          <w:rFonts w:ascii="Times New Roman" w:eastAsia="Times New Roman" w:hAnsi="Times New Roman" w:cs="Times New Roman"/>
          <w:sz w:val="24"/>
          <w:szCs w:val="24"/>
          <w:lang w:val="en-US" w:eastAsia="pt-BR"/>
        </w:rPr>
        <w:t xml:space="preserve"> </w:t>
      </w:r>
      <w:r w:rsidR="00AD5497" w:rsidRPr="008210C1">
        <w:rPr>
          <w:rFonts w:ascii="Times New Roman" w:eastAsia="Times New Roman" w:hAnsi="Times New Roman" w:cs="Times New Roman"/>
          <w:sz w:val="24"/>
          <w:szCs w:val="24"/>
          <w:lang w:val="en-US" w:eastAsia="pt-BR"/>
        </w:rPr>
        <w:t xml:space="preserve">there was a reduction in </w:t>
      </w:r>
      <w:r w:rsidR="00AD5497" w:rsidRPr="008210C1">
        <w:rPr>
          <w:rFonts w:ascii="Times New Roman" w:hAnsi="Times New Roman" w:cs="Times New Roman"/>
          <w:sz w:val="24"/>
          <w:szCs w:val="24"/>
          <w:lang w:val="en-GB"/>
        </w:rPr>
        <w:t>primary fiscal surpluses during Rousseff’s government</w:t>
      </w:r>
      <w:r w:rsidR="003A6D7D" w:rsidRPr="008210C1">
        <w:rPr>
          <w:rFonts w:ascii="Times New Roman" w:hAnsi="Times New Roman" w:cs="Times New Roman"/>
          <w:sz w:val="24"/>
          <w:szCs w:val="24"/>
          <w:lang w:val="en-GB"/>
        </w:rPr>
        <w:t xml:space="preserve">; but </w:t>
      </w:r>
      <w:r w:rsidR="00AD5497" w:rsidRPr="008210C1">
        <w:rPr>
          <w:rFonts w:ascii="Times New Roman" w:hAnsi="Times New Roman" w:cs="Times New Roman"/>
          <w:sz w:val="24"/>
          <w:szCs w:val="24"/>
          <w:lang w:val="en-GB"/>
        </w:rPr>
        <w:t xml:space="preserve">it was not sufficient to settle an effective counter cyclical </w:t>
      </w:r>
      <w:r w:rsidR="00FC259D" w:rsidRPr="008210C1">
        <w:rPr>
          <w:rFonts w:ascii="Times New Roman" w:hAnsi="Times New Roman" w:cs="Times New Roman"/>
          <w:sz w:val="24"/>
          <w:szCs w:val="24"/>
          <w:lang w:val="en-GB"/>
        </w:rPr>
        <w:t>FP</w:t>
      </w:r>
      <w:r w:rsidR="00AD5497" w:rsidRPr="008210C1">
        <w:rPr>
          <w:rFonts w:ascii="Times New Roman" w:hAnsi="Times New Roman" w:cs="Times New Roman"/>
          <w:sz w:val="24"/>
          <w:szCs w:val="24"/>
          <w:lang w:val="en-GB"/>
        </w:rPr>
        <w:t>.</w:t>
      </w:r>
      <w:r w:rsidR="00B60260" w:rsidRPr="008210C1">
        <w:rPr>
          <w:rFonts w:ascii="Times New Roman" w:hAnsi="Times New Roman" w:cs="Times New Roman"/>
          <w:sz w:val="24"/>
          <w:szCs w:val="24"/>
          <w:lang w:val="en-GB"/>
        </w:rPr>
        <w:t xml:space="preserve"> </w:t>
      </w:r>
      <w:r w:rsidR="0079462D" w:rsidRPr="008210C1">
        <w:rPr>
          <w:rFonts w:ascii="Times New Roman" w:hAnsi="Times New Roman" w:cs="Times New Roman"/>
          <w:sz w:val="24"/>
          <w:szCs w:val="24"/>
          <w:lang w:val="en-GB"/>
        </w:rPr>
        <w:t xml:space="preserve">Moreover, mainstream policy prescriptions turned Brazil unable to </w:t>
      </w:r>
      <w:r w:rsidR="003A6D7D" w:rsidRPr="008210C1">
        <w:rPr>
          <w:rFonts w:ascii="Times New Roman" w:hAnsi="Times New Roman" w:cs="Times New Roman"/>
          <w:sz w:val="24"/>
          <w:szCs w:val="24"/>
          <w:lang w:val="en-GB"/>
        </w:rPr>
        <w:t>produc</w:t>
      </w:r>
      <w:r w:rsidR="00452D5C" w:rsidRPr="008210C1">
        <w:rPr>
          <w:rFonts w:ascii="Times New Roman" w:hAnsi="Times New Roman" w:cs="Times New Roman"/>
          <w:sz w:val="24"/>
          <w:szCs w:val="24"/>
          <w:lang w:val="en-GB"/>
        </w:rPr>
        <w:t>e</w:t>
      </w:r>
      <w:r w:rsidR="0079462D" w:rsidRPr="008210C1">
        <w:rPr>
          <w:rFonts w:ascii="Times New Roman" w:hAnsi="Times New Roman" w:cs="Times New Roman"/>
          <w:sz w:val="24"/>
          <w:szCs w:val="24"/>
          <w:lang w:val="en-GB"/>
        </w:rPr>
        <w:t xml:space="preserve"> a capital budget as big as required by the PAC.</w:t>
      </w:r>
      <w:r w:rsidR="00785D33" w:rsidRPr="008210C1">
        <w:rPr>
          <w:rFonts w:ascii="Times New Roman" w:hAnsi="Times New Roman" w:cs="Times New Roman"/>
          <w:sz w:val="24"/>
          <w:szCs w:val="24"/>
          <w:lang w:val="en-GB"/>
        </w:rPr>
        <w:t xml:space="preserve"> Over</w:t>
      </w:r>
      <w:r w:rsidR="00FA2138" w:rsidRPr="008210C1">
        <w:rPr>
          <w:rFonts w:ascii="Times New Roman" w:hAnsi="Times New Roman" w:cs="Times New Roman"/>
          <w:sz w:val="24"/>
          <w:szCs w:val="24"/>
          <w:lang w:val="en-GB"/>
        </w:rPr>
        <w:t xml:space="preserve"> 2011</w:t>
      </w:r>
      <w:r w:rsidR="00785D33" w:rsidRPr="008210C1">
        <w:rPr>
          <w:rFonts w:ascii="Times New Roman" w:hAnsi="Times New Roman" w:cs="Times New Roman"/>
          <w:sz w:val="24"/>
          <w:szCs w:val="24"/>
          <w:lang w:val="en-GB"/>
        </w:rPr>
        <w:t>-20</w:t>
      </w:r>
      <w:r w:rsidR="00FA2138" w:rsidRPr="008210C1">
        <w:rPr>
          <w:rFonts w:ascii="Times New Roman" w:hAnsi="Times New Roman" w:cs="Times New Roman"/>
          <w:sz w:val="24"/>
          <w:szCs w:val="24"/>
          <w:lang w:val="en-GB"/>
        </w:rPr>
        <w:t xml:space="preserve">13, </w:t>
      </w:r>
      <w:r w:rsidR="0079462D" w:rsidRPr="008210C1">
        <w:rPr>
          <w:rFonts w:ascii="Times New Roman" w:hAnsi="Times New Roman" w:cs="Times New Roman"/>
          <w:sz w:val="24"/>
          <w:szCs w:val="24"/>
          <w:lang w:val="en-GB"/>
        </w:rPr>
        <w:t xml:space="preserve">Brazilian government </w:t>
      </w:r>
      <w:r w:rsidR="002B64AB" w:rsidRPr="008210C1">
        <w:rPr>
          <w:rFonts w:ascii="Times New Roman" w:hAnsi="Times New Roman" w:cs="Times New Roman"/>
          <w:sz w:val="24"/>
          <w:szCs w:val="24"/>
          <w:lang w:val="en-GB"/>
        </w:rPr>
        <w:t>made</w:t>
      </w:r>
      <w:r w:rsidR="0079462D" w:rsidRPr="008210C1">
        <w:rPr>
          <w:rFonts w:ascii="Times New Roman" w:hAnsi="Times New Roman" w:cs="Times New Roman"/>
          <w:sz w:val="24"/>
          <w:szCs w:val="24"/>
          <w:lang w:val="en-GB"/>
        </w:rPr>
        <w:t xml:space="preserve"> primary surpluses</w:t>
      </w:r>
      <w:r w:rsidR="00B308ED" w:rsidRPr="008210C1">
        <w:rPr>
          <w:rFonts w:ascii="Times New Roman" w:hAnsi="Times New Roman" w:cs="Times New Roman"/>
          <w:sz w:val="24"/>
          <w:szCs w:val="24"/>
          <w:lang w:val="en-GB"/>
        </w:rPr>
        <w:t xml:space="preserve"> of</w:t>
      </w:r>
      <w:r w:rsidR="00B60260" w:rsidRPr="008210C1">
        <w:rPr>
          <w:rFonts w:ascii="Times New Roman" w:hAnsi="Times New Roman" w:cs="Times New Roman"/>
          <w:sz w:val="24"/>
          <w:szCs w:val="24"/>
          <w:lang w:val="en-GB"/>
        </w:rPr>
        <w:t xml:space="preserve"> </w:t>
      </w:r>
      <w:r w:rsidR="0079462D" w:rsidRPr="008210C1">
        <w:rPr>
          <w:rFonts w:ascii="Times New Roman" w:hAnsi="Times New Roman" w:cs="Times New Roman"/>
          <w:sz w:val="24"/>
          <w:szCs w:val="24"/>
          <w:lang w:val="en-GB"/>
        </w:rPr>
        <w:t>2</w:t>
      </w:r>
      <w:r w:rsidR="006D1BE2" w:rsidRPr="008210C1">
        <w:rPr>
          <w:rFonts w:ascii="Times New Roman" w:hAnsi="Times New Roman" w:cs="Times New Roman"/>
          <w:sz w:val="24"/>
          <w:szCs w:val="24"/>
          <w:lang w:val="en-GB"/>
        </w:rPr>
        <w:t>.</w:t>
      </w:r>
      <w:r w:rsidR="0079462D" w:rsidRPr="008210C1">
        <w:rPr>
          <w:rFonts w:ascii="Times New Roman" w:hAnsi="Times New Roman" w:cs="Times New Roman"/>
          <w:sz w:val="24"/>
          <w:szCs w:val="24"/>
          <w:lang w:val="en-GB"/>
        </w:rPr>
        <w:t>89%</w:t>
      </w:r>
      <w:r w:rsidR="00785D33" w:rsidRPr="008210C1">
        <w:rPr>
          <w:rFonts w:ascii="Times New Roman" w:hAnsi="Times New Roman" w:cs="Times New Roman"/>
          <w:sz w:val="24"/>
          <w:szCs w:val="24"/>
          <w:lang w:val="en-GB"/>
        </w:rPr>
        <w:t xml:space="preserve"> in 2011,</w:t>
      </w:r>
      <w:r w:rsidR="0079462D" w:rsidRPr="008210C1">
        <w:rPr>
          <w:rFonts w:ascii="Times New Roman" w:hAnsi="Times New Roman" w:cs="Times New Roman"/>
          <w:sz w:val="24"/>
          <w:szCs w:val="24"/>
          <w:lang w:val="en-GB"/>
        </w:rPr>
        <w:t xml:space="preserve"> and 1</w:t>
      </w:r>
      <w:r w:rsidR="006D1BE2" w:rsidRPr="008210C1">
        <w:rPr>
          <w:rFonts w:ascii="Times New Roman" w:hAnsi="Times New Roman" w:cs="Times New Roman"/>
          <w:sz w:val="24"/>
          <w:szCs w:val="24"/>
          <w:lang w:val="en-GB"/>
        </w:rPr>
        <w:t>.</w:t>
      </w:r>
      <w:r w:rsidR="0079462D" w:rsidRPr="008210C1">
        <w:rPr>
          <w:rFonts w:ascii="Times New Roman" w:hAnsi="Times New Roman" w:cs="Times New Roman"/>
          <w:sz w:val="24"/>
          <w:szCs w:val="24"/>
          <w:lang w:val="en-GB"/>
        </w:rPr>
        <w:t>74% of GDP</w:t>
      </w:r>
      <w:r w:rsidR="00785D33" w:rsidRPr="008210C1">
        <w:rPr>
          <w:rFonts w:ascii="Times New Roman" w:hAnsi="Times New Roman" w:cs="Times New Roman"/>
          <w:sz w:val="24"/>
          <w:szCs w:val="24"/>
          <w:lang w:val="en-GB"/>
        </w:rPr>
        <w:t xml:space="preserve"> in 2013</w:t>
      </w:r>
      <w:r w:rsidR="00B308ED" w:rsidRPr="008210C1">
        <w:rPr>
          <w:rFonts w:ascii="Times New Roman" w:hAnsi="Times New Roman" w:cs="Times New Roman"/>
          <w:sz w:val="24"/>
          <w:szCs w:val="24"/>
          <w:lang w:val="en-GB"/>
        </w:rPr>
        <w:t>,</w:t>
      </w:r>
      <w:r w:rsidR="0079462D" w:rsidRPr="008210C1">
        <w:rPr>
          <w:rFonts w:ascii="Times New Roman" w:hAnsi="Times New Roman" w:cs="Times New Roman"/>
          <w:sz w:val="24"/>
          <w:szCs w:val="24"/>
          <w:lang w:val="en-GB"/>
        </w:rPr>
        <w:t xml:space="preserve"> whereas its interest payments summed out nearly</w:t>
      </w:r>
      <w:r w:rsidR="00B60260" w:rsidRPr="008210C1">
        <w:rPr>
          <w:rFonts w:ascii="Times New Roman" w:hAnsi="Times New Roman" w:cs="Times New Roman"/>
          <w:sz w:val="24"/>
          <w:szCs w:val="24"/>
          <w:lang w:val="en-GB"/>
        </w:rPr>
        <w:t xml:space="preserve"> </w:t>
      </w:r>
      <w:r w:rsidR="00C2557F" w:rsidRPr="008210C1">
        <w:rPr>
          <w:rFonts w:ascii="Times New Roman" w:hAnsi="Times New Roman" w:cs="Times New Roman"/>
          <w:sz w:val="24"/>
          <w:szCs w:val="24"/>
          <w:lang w:val="en-GB"/>
        </w:rPr>
        <w:t>4</w:t>
      </w:r>
      <w:r w:rsidR="006D1BE2" w:rsidRPr="008210C1">
        <w:rPr>
          <w:rFonts w:ascii="Times New Roman" w:hAnsi="Times New Roman" w:cs="Times New Roman"/>
          <w:sz w:val="24"/>
          <w:szCs w:val="24"/>
          <w:lang w:val="en-GB"/>
        </w:rPr>
        <w:t>.</w:t>
      </w:r>
      <w:r w:rsidR="0079462D" w:rsidRPr="008210C1">
        <w:rPr>
          <w:rFonts w:ascii="Times New Roman" w:hAnsi="Times New Roman" w:cs="Times New Roman"/>
          <w:sz w:val="24"/>
          <w:szCs w:val="24"/>
          <w:lang w:val="en-GB"/>
        </w:rPr>
        <w:t>5</w:t>
      </w:r>
      <w:r w:rsidR="003A6D7D" w:rsidRPr="008210C1">
        <w:rPr>
          <w:rFonts w:ascii="Times New Roman" w:hAnsi="Times New Roman" w:cs="Times New Roman"/>
          <w:sz w:val="24"/>
          <w:szCs w:val="24"/>
          <w:lang w:val="en-GB"/>
        </w:rPr>
        <w:t>%</w:t>
      </w:r>
      <w:r w:rsidR="0079462D" w:rsidRPr="008210C1">
        <w:rPr>
          <w:rFonts w:ascii="Times New Roman" w:hAnsi="Times New Roman" w:cs="Times New Roman"/>
          <w:sz w:val="24"/>
          <w:szCs w:val="24"/>
          <w:lang w:val="en-GB"/>
        </w:rPr>
        <w:t>-</w:t>
      </w:r>
      <w:r w:rsidR="00C2557F" w:rsidRPr="008210C1">
        <w:rPr>
          <w:rFonts w:ascii="Times New Roman" w:hAnsi="Times New Roman" w:cs="Times New Roman"/>
          <w:sz w:val="24"/>
          <w:szCs w:val="24"/>
          <w:lang w:val="en-GB"/>
        </w:rPr>
        <w:t>5</w:t>
      </w:r>
      <w:r w:rsidR="006D1BE2" w:rsidRPr="008210C1">
        <w:rPr>
          <w:rFonts w:ascii="Times New Roman" w:hAnsi="Times New Roman" w:cs="Times New Roman"/>
          <w:sz w:val="24"/>
          <w:szCs w:val="24"/>
          <w:lang w:val="en-GB"/>
        </w:rPr>
        <w:t>.</w:t>
      </w:r>
      <w:r w:rsidR="00C2557F" w:rsidRPr="008210C1">
        <w:rPr>
          <w:rFonts w:ascii="Times New Roman" w:hAnsi="Times New Roman" w:cs="Times New Roman"/>
          <w:sz w:val="24"/>
          <w:szCs w:val="24"/>
          <w:lang w:val="en-GB"/>
        </w:rPr>
        <w:t>5</w:t>
      </w:r>
      <w:r w:rsidR="0079462D" w:rsidRPr="008210C1">
        <w:rPr>
          <w:rFonts w:ascii="Times New Roman" w:hAnsi="Times New Roman" w:cs="Times New Roman"/>
          <w:sz w:val="24"/>
          <w:szCs w:val="24"/>
          <w:lang w:val="en-GB"/>
        </w:rPr>
        <w:t xml:space="preserve">% of the GDP as the restrictive </w:t>
      </w:r>
      <w:r w:rsidR="00162D99" w:rsidRPr="008210C1">
        <w:rPr>
          <w:rFonts w:ascii="Times New Roman" w:hAnsi="Times New Roman" w:cs="Times New Roman"/>
          <w:sz w:val="24"/>
          <w:szCs w:val="24"/>
          <w:lang w:val="en-GB"/>
        </w:rPr>
        <w:t>MP</w:t>
      </w:r>
      <w:r w:rsidR="0079462D" w:rsidRPr="008210C1">
        <w:rPr>
          <w:rFonts w:ascii="Times New Roman" w:hAnsi="Times New Roman" w:cs="Times New Roman"/>
          <w:sz w:val="24"/>
          <w:szCs w:val="24"/>
          <w:lang w:val="en-GB"/>
        </w:rPr>
        <w:t xml:space="preserve"> practiced in Brazil, a common feature </w:t>
      </w:r>
      <w:r w:rsidR="002B64AB" w:rsidRPr="008210C1">
        <w:rPr>
          <w:rFonts w:ascii="Times New Roman" w:hAnsi="Times New Roman" w:cs="Times New Roman"/>
          <w:sz w:val="24"/>
          <w:szCs w:val="24"/>
          <w:lang w:val="en-GB"/>
        </w:rPr>
        <w:t>of</w:t>
      </w:r>
      <w:r w:rsidR="0079462D" w:rsidRPr="008210C1">
        <w:rPr>
          <w:rFonts w:ascii="Times New Roman" w:hAnsi="Times New Roman" w:cs="Times New Roman"/>
          <w:sz w:val="24"/>
          <w:szCs w:val="24"/>
          <w:lang w:val="en-GB"/>
        </w:rPr>
        <w:t xml:space="preserve"> the Inflation Targeting Regime, </w:t>
      </w:r>
      <w:r w:rsidR="003A6D7D" w:rsidRPr="008210C1">
        <w:rPr>
          <w:rFonts w:ascii="Times New Roman" w:hAnsi="Times New Roman" w:cs="Times New Roman"/>
          <w:sz w:val="24"/>
          <w:szCs w:val="24"/>
          <w:lang w:val="en-GB"/>
        </w:rPr>
        <w:t xml:space="preserve">which </w:t>
      </w:r>
      <w:r w:rsidR="0079462D" w:rsidRPr="008210C1">
        <w:rPr>
          <w:rFonts w:ascii="Times New Roman" w:hAnsi="Times New Roman" w:cs="Times New Roman"/>
          <w:sz w:val="24"/>
          <w:szCs w:val="24"/>
          <w:lang w:val="en-GB"/>
        </w:rPr>
        <w:t>require</w:t>
      </w:r>
      <w:r w:rsidR="003A6D7D" w:rsidRPr="008210C1">
        <w:rPr>
          <w:rFonts w:ascii="Times New Roman" w:hAnsi="Times New Roman" w:cs="Times New Roman"/>
          <w:sz w:val="24"/>
          <w:szCs w:val="24"/>
          <w:lang w:val="en-GB"/>
        </w:rPr>
        <w:t>d</w:t>
      </w:r>
      <w:r w:rsidR="0079462D" w:rsidRPr="008210C1">
        <w:rPr>
          <w:rFonts w:ascii="Times New Roman" w:hAnsi="Times New Roman" w:cs="Times New Roman"/>
          <w:sz w:val="24"/>
          <w:szCs w:val="24"/>
          <w:lang w:val="en-GB"/>
        </w:rPr>
        <w:t xml:space="preserve"> huge amounts of resources to be affordable. </w:t>
      </w:r>
    </w:p>
    <w:p w:rsidR="006D0C06" w:rsidRPr="008210C1" w:rsidRDefault="0079462D" w:rsidP="008210C1">
      <w:p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GB"/>
        </w:rPr>
        <w:lastRenderedPageBreak/>
        <w:t xml:space="preserve">Such a policy was incoherent with an expansionary </w:t>
      </w:r>
      <w:r w:rsidR="00FC259D" w:rsidRPr="008210C1">
        <w:rPr>
          <w:rFonts w:ascii="Times New Roman" w:hAnsi="Times New Roman" w:cs="Times New Roman"/>
          <w:sz w:val="24"/>
          <w:szCs w:val="24"/>
          <w:lang w:val="en-GB"/>
        </w:rPr>
        <w:t>FP</w:t>
      </w:r>
      <w:r w:rsidRPr="008210C1">
        <w:rPr>
          <w:rFonts w:ascii="Times New Roman" w:hAnsi="Times New Roman" w:cs="Times New Roman"/>
          <w:sz w:val="24"/>
          <w:szCs w:val="24"/>
          <w:lang w:val="en-GB"/>
        </w:rPr>
        <w:t xml:space="preserve"> aimed at financing public investments</w:t>
      </w:r>
      <w:r w:rsidR="00742AF4" w:rsidRPr="008210C1">
        <w:rPr>
          <w:rFonts w:ascii="Times New Roman" w:hAnsi="Times New Roman" w:cs="Times New Roman"/>
          <w:sz w:val="24"/>
          <w:szCs w:val="24"/>
          <w:lang w:val="en-GB"/>
        </w:rPr>
        <w:t xml:space="preserve">, </w:t>
      </w:r>
      <w:r w:rsidRPr="008210C1">
        <w:rPr>
          <w:rFonts w:ascii="Times New Roman" w:hAnsi="Times New Roman" w:cs="Times New Roman"/>
          <w:sz w:val="24"/>
          <w:szCs w:val="24"/>
          <w:lang w:val="en-GB"/>
        </w:rPr>
        <w:t>with</w:t>
      </w:r>
      <w:r w:rsidR="00B97ACA" w:rsidRPr="008210C1">
        <w:rPr>
          <w:rFonts w:ascii="Times New Roman" w:hAnsi="Times New Roman" w:cs="Times New Roman"/>
          <w:sz w:val="24"/>
          <w:szCs w:val="24"/>
          <w:lang w:val="en-GB"/>
        </w:rPr>
        <w:t xml:space="preserve"> </w:t>
      </w:r>
      <w:r w:rsidRPr="008210C1">
        <w:rPr>
          <w:rFonts w:ascii="Times New Roman" w:hAnsi="Times New Roman" w:cs="Times New Roman"/>
          <w:sz w:val="24"/>
          <w:szCs w:val="24"/>
          <w:lang w:val="en-GB"/>
        </w:rPr>
        <w:t xml:space="preserve">an income sharing policy </w:t>
      </w:r>
      <w:r w:rsidR="00742AF4" w:rsidRPr="008210C1">
        <w:rPr>
          <w:rFonts w:ascii="Times New Roman" w:hAnsi="Times New Roman" w:cs="Times New Roman"/>
          <w:sz w:val="24"/>
          <w:szCs w:val="24"/>
          <w:lang w:val="en-GB"/>
        </w:rPr>
        <w:t>and</w:t>
      </w:r>
      <w:r w:rsidRPr="008210C1">
        <w:rPr>
          <w:rFonts w:ascii="Times New Roman" w:hAnsi="Times New Roman" w:cs="Times New Roman"/>
          <w:sz w:val="24"/>
          <w:szCs w:val="24"/>
          <w:lang w:val="en-GB"/>
        </w:rPr>
        <w:t xml:space="preserve"> with measures seeking to augment the aggregate consumption. </w:t>
      </w:r>
      <w:r w:rsidR="00D00628" w:rsidRPr="008210C1">
        <w:rPr>
          <w:rFonts w:ascii="Times New Roman" w:hAnsi="Times New Roman" w:cs="Times New Roman"/>
          <w:sz w:val="24"/>
          <w:szCs w:val="24"/>
          <w:lang w:val="en-GB"/>
        </w:rPr>
        <w:t>Furthermore</w:t>
      </w:r>
      <w:r w:rsidR="004E0DD7" w:rsidRPr="008210C1">
        <w:rPr>
          <w:rFonts w:ascii="Times New Roman" w:hAnsi="Times New Roman" w:cs="Times New Roman"/>
          <w:sz w:val="24"/>
          <w:szCs w:val="24"/>
          <w:lang w:val="en-GB"/>
        </w:rPr>
        <w:t xml:space="preserve">, </w:t>
      </w:r>
      <w:r w:rsidR="003A6D7D" w:rsidRPr="008210C1">
        <w:rPr>
          <w:rFonts w:ascii="Times New Roman" w:hAnsi="Times New Roman" w:cs="Times New Roman"/>
          <w:sz w:val="24"/>
          <w:szCs w:val="24"/>
          <w:lang w:val="en-GB"/>
        </w:rPr>
        <w:t xml:space="preserve">the </w:t>
      </w:r>
      <w:r w:rsidR="004E0DD7" w:rsidRPr="008210C1">
        <w:rPr>
          <w:rFonts w:ascii="Times New Roman" w:hAnsi="Times New Roman" w:cs="Times New Roman"/>
          <w:sz w:val="24"/>
          <w:szCs w:val="24"/>
          <w:lang w:val="en-GB"/>
        </w:rPr>
        <w:t>tax allowance damage</w:t>
      </w:r>
      <w:r w:rsidR="00121C3E" w:rsidRPr="008210C1">
        <w:rPr>
          <w:rFonts w:ascii="Times New Roman" w:hAnsi="Times New Roman" w:cs="Times New Roman"/>
          <w:sz w:val="24"/>
          <w:szCs w:val="24"/>
          <w:lang w:val="en-GB"/>
        </w:rPr>
        <w:t>d</w:t>
      </w:r>
      <w:r w:rsidR="004E0DD7" w:rsidRPr="008210C1">
        <w:rPr>
          <w:rFonts w:ascii="Times New Roman" w:hAnsi="Times New Roman" w:cs="Times New Roman"/>
          <w:sz w:val="24"/>
          <w:szCs w:val="24"/>
          <w:lang w:val="en-GB"/>
        </w:rPr>
        <w:t xml:space="preserve"> both the primary surplus and the level of disposable resources to finance </w:t>
      </w:r>
      <w:r w:rsidR="00D00628" w:rsidRPr="008210C1">
        <w:rPr>
          <w:rFonts w:ascii="Times New Roman" w:hAnsi="Times New Roman" w:cs="Times New Roman"/>
          <w:sz w:val="24"/>
          <w:szCs w:val="24"/>
          <w:lang w:val="en-GB"/>
        </w:rPr>
        <w:t xml:space="preserve">PAC </w:t>
      </w:r>
      <w:r w:rsidR="004E0DD7" w:rsidRPr="008210C1">
        <w:rPr>
          <w:rFonts w:ascii="Times New Roman" w:hAnsi="Times New Roman" w:cs="Times New Roman"/>
          <w:sz w:val="24"/>
          <w:szCs w:val="24"/>
          <w:lang w:val="en-GB"/>
        </w:rPr>
        <w:t xml:space="preserve">investments. Instead of </w:t>
      </w:r>
      <w:r w:rsidR="00D00628" w:rsidRPr="008210C1">
        <w:rPr>
          <w:rFonts w:ascii="Times New Roman" w:hAnsi="Times New Roman" w:cs="Times New Roman"/>
          <w:sz w:val="24"/>
          <w:szCs w:val="24"/>
          <w:lang w:val="en-GB"/>
        </w:rPr>
        <w:t xml:space="preserve">just </w:t>
      </w:r>
      <w:r w:rsidR="004E0DD7" w:rsidRPr="008210C1">
        <w:rPr>
          <w:rFonts w:ascii="Times New Roman" w:hAnsi="Times New Roman" w:cs="Times New Roman"/>
          <w:sz w:val="24"/>
          <w:szCs w:val="24"/>
          <w:lang w:val="en-GB"/>
        </w:rPr>
        <w:t>giving up</w:t>
      </w:r>
      <w:r w:rsidR="00BF29D9" w:rsidRPr="008210C1">
        <w:rPr>
          <w:rFonts w:ascii="Times New Roman" w:hAnsi="Times New Roman" w:cs="Times New Roman"/>
          <w:sz w:val="24"/>
          <w:szCs w:val="24"/>
          <w:lang w:val="en-GB"/>
        </w:rPr>
        <w:t xml:space="preserve"> on</w:t>
      </w:r>
      <w:r w:rsidR="00B97ACA" w:rsidRPr="008210C1">
        <w:rPr>
          <w:rFonts w:ascii="Times New Roman" w:hAnsi="Times New Roman" w:cs="Times New Roman"/>
          <w:sz w:val="24"/>
          <w:szCs w:val="24"/>
          <w:lang w:val="en-GB"/>
        </w:rPr>
        <w:t xml:space="preserve"> </w:t>
      </w:r>
      <w:r w:rsidR="004E0DD7" w:rsidRPr="008210C1">
        <w:rPr>
          <w:rFonts w:ascii="Times New Roman" w:hAnsi="Times New Roman" w:cs="Times New Roman"/>
          <w:sz w:val="24"/>
          <w:szCs w:val="24"/>
          <w:lang w:val="en-GB"/>
        </w:rPr>
        <w:t xml:space="preserve">the resources related </w:t>
      </w:r>
      <w:r w:rsidR="00EB43CD" w:rsidRPr="008210C1">
        <w:rPr>
          <w:rFonts w:ascii="Times New Roman" w:hAnsi="Times New Roman" w:cs="Times New Roman"/>
          <w:sz w:val="24"/>
          <w:szCs w:val="24"/>
          <w:lang w:val="en-GB"/>
        </w:rPr>
        <w:t>to the</w:t>
      </w:r>
      <w:r w:rsidR="004E0DD7" w:rsidRPr="008210C1">
        <w:rPr>
          <w:rFonts w:ascii="Times New Roman" w:hAnsi="Times New Roman" w:cs="Times New Roman"/>
          <w:sz w:val="24"/>
          <w:szCs w:val="24"/>
          <w:lang w:val="en-GB"/>
        </w:rPr>
        <w:t xml:space="preserve"> tax allowance</w:t>
      </w:r>
      <w:r w:rsidR="00BF29D9" w:rsidRPr="008210C1">
        <w:rPr>
          <w:rFonts w:ascii="Times New Roman" w:hAnsi="Times New Roman" w:cs="Times New Roman"/>
          <w:sz w:val="24"/>
          <w:szCs w:val="24"/>
          <w:lang w:val="en-GB"/>
        </w:rPr>
        <w:t>, the government should have gathered them</w:t>
      </w:r>
      <w:r w:rsidR="004E0DD7" w:rsidRPr="008210C1">
        <w:rPr>
          <w:rFonts w:ascii="Times New Roman" w:hAnsi="Times New Roman" w:cs="Times New Roman"/>
          <w:sz w:val="24"/>
          <w:szCs w:val="24"/>
          <w:lang w:val="en-GB"/>
        </w:rPr>
        <w:t xml:space="preserve"> </w:t>
      </w:r>
      <w:r w:rsidR="00E35253" w:rsidRPr="008210C1">
        <w:rPr>
          <w:rFonts w:ascii="Times New Roman" w:hAnsi="Times New Roman" w:cs="Times New Roman"/>
          <w:sz w:val="24"/>
          <w:szCs w:val="24"/>
          <w:lang w:val="en-GB"/>
        </w:rPr>
        <w:t xml:space="preserve">to finance PAC expenditures since it </w:t>
      </w:r>
      <w:r w:rsidR="00E35253" w:rsidRPr="008210C1">
        <w:rPr>
          <w:rFonts w:ascii="Times New Roman" w:hAnsi="Times New Roman" w:cs="Times New Roman"/>
          <w:sz w:val="24"/>
          <w:szCs w:val="24"/>
          <w:lang w:val="en-US"/>
        </w:rPr>
        <w:t>directly impact</w:t>
      </w:r>
      <w:r w:rsidR="003A6D7D" w:rsidRPr="008210C1">
        <w:rPr>
          <w:rFonts w:ascii="Times New Roman" w:hAnsi="Times New Roman" w:cs="Times New Roman"/>
          <w:sz w:val="24"/>
          <w:szCs w:val="24"/>
          <w:lang w:val="en-US"/>
        </w:rPr>
        <w:t>ed</w:t>
      </w:r>
      <w:r w:rsidR="00E35253" w:rsidRPr="008210C1">
        <w:rPr>
          <w:rFonts w:ascii="Times New Roman" w:hAnsi="Times New Roman" w:cs="Times New Roman"/>
          <w:sz w:val="24"/>
          <w:szCs w:val="24"/>
          <w:lang w:val="en-US"/>
        </w:rPr>
        <w:t xml:space="preserve"> effective demand</w:t>
      </w:r>
      <w:r w:rsidR="00121C3E" w:rsidRPr="008210C1">
        <w:rPr>
          <w:rFonts w:ascii="Times New Roman" w:hAnsi="Times New Roman" w:cs="Times New Roman"/>
          <w:sz w:val="24"/>
          <w:szCs w:val="24"/>
          <w:lang w:val="en-US"/>
        </w:rPr>
        <w:t xml:space="preserve"> as well as it </w:t>
      </w:r>
      <w:r w:rsidR="00BF29D9" w:rsidRPr="008210C1">
        <w:rPr>
          <w:rFonts w:ascii="Times New Roman" w:hAnsi="Times New Roman" w:cs="Times New Roman"/>
          <w:sz w:val="24"/>
          <w:szCs w:val="24"/>
          <w:lang w:val="en-US"/>
        </w:rPr>
        <w:t>ha</w:t>
      </w:r>
      <w:r w:rsidR="003A6D7D" w:rsidRPr="008210C1">
        <w:rPr>
          <w:rFonts w:ascii="Times New Roman" w:hAnsi="Times New Roman" w:cs="Times New Roman"/>
          <w:sz w:val="24"/>
          <w:szCs w:val="24"/>
          <w:lang w:val="en-US"/>
        </w:rPr>
        <w:t>d</w:t>
      </w:r>
      <w:r w:rsidR="00BF29D9" w:rsidRPr="008210C1">
        <w:rPr>
          <w:rFonts w:ascii="Times New Roman" w:hAnsi="Times New Roman" w:cs="Times New Roman"/>
          <w:sz w:val="24"/>
          <w:szCs w:val="24"/>
          <w:lang w:val="en-US"/>
        </w:rPr>
        <w:t xml:space="preserve"> </w:t>
      </w:r>
      <w:r w:rsidR="00E35253" w:rsidRPr="008210C1">
        <w:rPr>
          <w:rFonts w:ascii="Times New Roman" w:hAnsi="Times New Roman" w:cs="Times New Roman"/>
          <w:sz w:val="24"/>
          <w:szCs w:val="24"/>
          <w:lang w:val="en-US"/>
        </w:rPr>
        <w:t xml:space="preserve">a greater fiscal multiplier than </w:t>
      </w:r>
      <w:r w:rsidR="00BF29D9" w:rsidRPr="008210C1">
        <w:rPr>
          <w:rFonts w:ascii="Times New Roman" w:hAnsi="Times New Roman" w:cs="Times New Roman"/>
          <w:sz w:val="24"/>
          <w:szCs w:val="24"/>
          <w:lang w:val="en-US"/>
        </w:rPr>
        <w:t>the one</w:t>
      </w:r>
      <w:r w:rsidR="00E35253" w:rsidRPr="008210C1">
        <w:rPr>
          <w:rFonts w:ascii="Times New Roman" w:hAnsi="Times New Roman" w:cs="Times New Roman"/>
          <w:sz w:val="24"/>
          <w:szCs w:val="24"/>
          <w:lang w:val="en-US"/>
        </w:rPr>
        <w:t xml:space="preserve"> </w:t>
      </w:r>
      <w:r w:rsidR="00121C3E" w:rsidRPr="008210C1">
        <w:rPr>
          <w:rFonts w:ascii="Times New Roman" w:hAnsi="Times New Roman" w:cs="Times New Roman"/>
          <w:sz w:val="24"/>
          <w:szCs w:val="24"/>
          <w:lang w:val="en-US"/>
        </w:rPr>
        <w:t>emerging from</w:t>
      </w:r>
      <w:r w:rsidR="00E35253" w:rsidRPr="008210C1">
        <w:rPr>
          <w:rFonts w:ascii="Times New Roman" w:hAnsi="Times New Roman" w:cs="Times New Roman"/>
          <w:sz w:val="24"/>
          <w:szCs w:val="24"/>
          <w:lang w:val="en-US"/>
        </w:rPr>
        <w:t xml:space="preserve"> </w:t>
      </w:r>
      <w:r w:rsidR="00E35253" w:rsidRPr="008210C1">
        <w:rPr>
          <w:rFonts w:ascii="Times New Roman" w:hAnsi="Times New Roman" w:cs="Times New Roman"/>
          <w:sz w:val="24"/>
          <w:szCs w:val="24"/>
          <w:lang w:val="en-GB"/>
        </w:rPr>
        <w:t>tax allowance</w:t>
      </w:r>
      <w:r w:rsidR="003A6D7D" w:rsidRPr="008210C1">
        <w:rPr>
          <w:rFonts w:ascii="Times New Roman" w:hAnsi="Times New Roman" w:cs="Times New Roman"/>
          <w:sz w:val="24"/>
          <w:szCs w:val="24"/>
          <w:lang w:val="en-GB"/>
        </w:rPr>
        <w:t>s</w:t>
      </w:r>
      <w:r w:rsidR="00E35253" w:rsidRPr="008210C1">
        <w:rPr>
          <w:rFonts w:ascii="Times New Roman" w:hAnsi="Times New Roman" w:cs="Times New Roman"/>
          <w:sz w:val="24"/>
          <w:szCs w:val="24"/>
          <w:lang w:val="en-GB"/>
        </w:rPr>
        <w:t xml:space="preserve">. </w:t>
      </w:r>
      <w:r w:rsidR="005C055A" w:rsidRPr="008210C1">
        <w:rPr>
          <w:rFonts w:ascii="Times New Roman" w:hAnsi="Times New Roman" w:cs="Times New Roman"/>
          <w:sz w:val="24"/>
          <w:szCs w:val="24"/>
          <w:lang w:val="en-US"/>
        </w:rPr>
        <w:t>Since public investment did not increase and private investment did not respond to the tax allowance policy,</w:t>
      </w:r>
      <w:r w:rsidR="005C055A" w:rsidRPr="008210C1">
        <w:rPr>
          <w:rStyle w:val="Refdenotaderodap"/>
          <w:rFonts w:ascii="Times New Roman" w:hAnsi="Times New Roman" w:cs="Times New Roman"/>
          <w:sz w:val="24"/>
          <w:szCs w:val="24"/>
          <w:lang w:val="en-US"/>
        </w:rPr>
        <w:footnoteReference w:id="12"/>
      </w:r>
      <w:r w:rsidR="00B97ACA" w:rsidRPr="008210C1">
        <w:rPr>
          <w:rFonts w:ascii="Times New Roman" w:hAnsi="Times New Roman" w:cs="Times New Roman"/>
          <w:sz w:val="24"/>
          <w:szCs w:val="24"/>
          <w:lang w:val="en-US"/>
        </w:rPr>
        <w:t xml:space="preserve"> </w:t>
      </w:r>
      <w:r w:rsidR="005C055A" w:rsidRPr="008210C1">
        <w:rPr>
          <w:rFonts w:ascii="Times New Roman" w:hAnsi="Times New Roman" w:cs="Times New Roman"/>
          <w:sz w:val="24"/>
          <w:szCs w:val="24"/>
          <w:lang w:val="en-US"/>
        </w:rPr>
        <w:t xml:space="preserve">two demand drivers, exports and investment, slowed down, </w:t>
      </w:r>
      <w:r w:rsidR="003A6D7D" w:rsidRPr="008210C1">
        <w:rPr>
          <w:rFonts w:ascii="Times New Roman" w:hAnsi="Times New Roman" w:cs="Times New Roman"/>
          <w:sz w:val="24"/>
          <w:szCs w:val="24"/>
          <w:lang w:val="en-US"/>
        </w:rPr>
        <w:t xml:space="preserve">reducing </w:t>
      </w:r>
      <w:r w:rsidR="005C055A" w:rsidRPr="008210C1">
        <w:rPr>
          <w:rFonts w:ascii="Times New Roman" w:hAnsi="Times New Roman" w:cs="Times New Roman"/>
          <w:sz w:val="24"/>
          <w:szCs w:val="24"/>
          <w:lang w:val="en-US"/>
        </w:rPr>
        <w:t>taxes</w:t>
      </w:r>
      <w:r w:rsidR="003A6D7D" w:rsidRPr="008210C1">
        <w:rPr>
          <w:rFonts w:ascii="Times New Roman" w:hAnsi="Times New Roman" w:cs="Times New Roman"/>
          <w:sz w:val="24"/>
          <w:szCs w:val="24"/>
          <w:lang w:val="en-US"/>
        </w:rPr>
        <w:t xml:space="preserve">, and </w:t>
      </w:r>
      <w:r w:rsidR="006D0C06" w:rsidRPr="008210C1">
        <w:rPr>
          <w:rFonts w:ascii="Times New Roman" w:hAnsi="Times New Roman" w:cs="Times New Roman"/>
          <w:sz w:val="24"/>
          <w:szCs w:val="24"/>
          <w:lang w:val="en-US"/>
        </w:rPr>
        <w:t>even more</w:t>
      </w:r>
      <w:r w:rsidR="003A6D7D" w:rsidRPr="008210C1">
        <w:rPr>
          <w:rFonts w:ascii="Times New Roman" w:hAnsi="Times New Roman" w:cs="Times New Roman"/>
          <w:sz w:val="24"/>
          <w:szCs w:val="24"/>
          <w:lang w:val="en-US"/>
        </w:rPr>
        <w:t xml:space="preserve"> so </w:t>
      </w:r>
      <w:r w:rsidR="005C055A" w:rsidRPr="008210C1">
        <w:rPr>
          <w:rFonts w:ascii="Times New Roman" w:hAnsi="Times New Roman" w:cs="Times New Roman"/>
          <w:sz w:val="24"/>
          <w:szCs w:val="24"/>
          <w:lang w:val="en-US"/>
        </w:rPr>
        <w:t xml:space="preserve">as the economic activity was </w:t>
      </w:r>
      <w:r w:rsidR="006D0C06" w:rsidRPr="008210C1">
        <w:rPr>
          <w:rFonts w:ascii="Times New Roman" w:hAnsi="Times New Roman" w:cs="Times New Roman"/>
          <w:sz w:val="24"/>
          <w:szCs w:val="24"/>
          <w:lang w:val="en-US"/>
        </w:rPr>
        <w:t>getting cooler</w:t>
      </w:r>
      <w:r w:rsidR="005C055A" w:rsidRPr="008210C1">
        <w:rPr>
          <w:rFonts w:ascii="Times New Roman" w:hAnsi="Times New Roman" w:cs="Times New Roman"/>
          <w:sz w:val="24"/>
          <w:szCs w:val="24"/>
          <w:lang w:val="en-US"/>
        </w:rPr>
        <w:t xml:space="preserve">. </w:t>
      </w:r>
    </w:p>
    <w:p w:rsidR="00E451DE" w:rsidRPr="008210C1" w:rsidRDefault="003A6D7D" w:rsidP="008210C1">
      <w:pPr>
        <w:spacing w:after="0" w:line="240" w:lineRule="auto"/>
        <w:ind w:firstLine="709"/>
        <w:jc w:val="both"/>
        <w:rPr>
          <w:rFonts w:ascii="Times New Roman" w:hAnsi="Times New Roman" w:cs="Times New Roman"/>
          <w:sz w:val="24"/>
          <w:szCs w:val="24"/>
          <w:lang w:val="en-GB"/>
        </w:rPr>
      </w:pPr>
      <w:r w:rsidRPr="008210C1">
        <w:rPr>
          <w:rFonts w:ascii="Times New Roman" w:hAnsi="Times New Roman" w:cs="Times New Roman"/>
          <w:sz w:val="24"/>
          <w:szCs w:val="24"/>
          <w:lang w:val="en-US"/>
        </w:rPr>
        <w:t>T</w:t>
      </w:r>
      <w:r w:rsidR="005C055A" w:rsidRPr="008210C1">
        <w:rPr>
          <w:rFonts w:ascii="Times New Roman" w:hAnsi="Times New Roman" w:cs="Times New Roman"/>
          <w:sz w:val="24"/>
          <w:szCs w:val="24"/>
          <w:lang w:val="en-US"/>
        </w:rPr>
        <w:t>he continuity of tax allowance</w:t>
      </w:r>
      <w:r w:rsidR="00093E2C" w:rsidRPr="008210C1">
        <w:rPr>
          <w:rFonts w:ascii="Times New Roman" w:hAnsi="Times New Roman" w:cs="Times New Roman"/>
          <w:sz w:val="24"/>
          <w:szCs w:val="24"/>
          <w:lang w:val="en-US"/>
        </w:rPr>
        <w:t>s</w:t>
      </w:r>
      <w:r w:rsidR="005C055A" w:rsidRPr="008210C1">
        <w:rPr>
          <w:rFonts w:ascii="Times New Roman" w:hAnsi="Times New Roman" w:cs="Times New Roman"/>
          <w:sz w:val="24"/>
          <w:szCs w:val="24"/>
          <w:lang w:val="en-US"/>
        </w:rPr>
        <w:t xml:space="preserve"> to the manufacturing industry as part of the counter cyclical fiscal measures was also withdrawing resources </w:t>
      </w:r>
      <w:r w:rsidR="00093E2C" w:rsidRPr="008210C1">
        <w:rPr>
          <w:rFonts w:ascii="Times New Roman" w:hAnsi="Times New Roman" w:cs="Times New Roman"/>
          <w:sz w:val="24"/>
          <w:szCs w:val="24"/>
          <w:lang w:val="en-US"/>
        </w:rPr>
        <w:t xml:space="preserve">from </w:t>
      </w:r>
      <w:r w:rsidR="005C055A" w:rsidRPr="008210C1">
        <w:rPr>
          <w:rFonts w:ascii="Times New Roman" w:hAnsi="Times New Roman" w:cs="Times New Roman"/>
          <w:sz w:val="24"/>
          <w:szCs w:val="24"/>
          <w:lang w:val="en-US"/>
        </w:rPr>
        <w:t>the Brazilian Treasury. Brazil’s public finance commenced suffering,</w:t>
      </w:r>
      <w:r w:rsidR="00B97ACA" w:rsidRPr="008210C1">
        <w:rPr>
          <w:rFonts w:ascii="Times New Roman" w:hAnsi="Times New Roman" w:cs="Times New Roman"/>
          <w:sz w:val="24"/>
          <w:szCs w:val="24"/>
          <w:lang w:val="en-US"/>
        </w:rPr>
        <w:t xml:space="preserve"> </w:t>
      </w:r>
      <w:r w:rsidR="005C055A" w:rsidRPr="008210C1">
        <w:rPr>
          <w:rFonts w:ascii="Times New Roman" w:hAnsi="Times New Roman" w:cs="Times New Roman"/>
          <w:sz w:val="24"/>
          <w:szCs w:val="24"/>
          <w:lang w:val="en-US"/>
        </w:rPr>
        <w:t xml:space="preserve">first a stagnation of levy collection and, from 2014 </w:t>
      </w:r>
      <w:r w:rsidR="00093E2C" w:rsidRPr="008210C1">
        <w:rPr>
          <w:rFonts w:ascii="Times New Roman" w:hAnsi="Times New Roman" w:cs="Times New Roman"/>
          <w:sz w:val="24"/>
          <w:szCs w:val="24"/>
          <w:lang w:val="en-US"/>
        </w:rPr>
        <w:t>onward</w:t>
      </w:r>
      <w:r w:rsidR="005C055A" w:rsidRPr="008210C1">
        <w:rPr>
          <w:rFonts w:ascii="Times New Roman" w:hAnsi="Times New Roman" w:cs="Times New Roman"/>
          <w:sz w:val="24"/>
          <w:szCs w:val="24"/>
          <w:lang w:val="en-US"/>
        </w:rPr>
        <w:t>, a strong reduction of public revenues.</w:t>
      </w:r>
      <w:r w:rsidR="006D0C06" w:rsidRPr="008210C1">
        <w:rPr>
          <w:rFonts w:ascii="Times New Roman" w:hAnsi="Times New Roman" w:cs="Times New Roman"/>
          <w:sz w:val="24"/>
          <w:szCs w:val="24"/>
          <w:lang w:val="en-US"/>
        </w:rPr>
        <w:t xml:space="preserve"> Nevertheless</w:t>
      </w:r>
      <w:r w:rsidR="00616C01" w:rsidRPr="008210C1">
        <w:rPr>
          <w:rFonts w:ascii="Times New Roman" w:hAnsi="Times New Roman" w:cs="Times New Roman"/>
          <w:sz w:val="24"/>
          <w:szCs w:val="24"/>
          <w:lang w:val="en-US"/>
        </w:rPr>
        <w:t>, public expenditures did not follow the same trend of</w:t>
      </w:r>
      <w:r w:rsidR="006D0C06" w:rsidRPr="008210C1">
        <w:rPr>
          <w:rFonts w:ascii="Times New Roman" w:hAnsi="Times New Roman" w:cs="Times New Roman"/>
          <w:sz w:val="24"/>
          <w:szCs w:val="24"/>
          <w:lang w:val="en-US"/>
        </w:rPr>
        <w:t xml:space="preserve"> the</w:t>
      </w:r>
      <w:r w:rsidR="00616C01" w:rsidRPr="008210C1">
        <w:rPr>
          <w:rFonts w:ascii="Times New Roman" w:hAnsi="Times New Roman" w:cs="Times New Roman"/>
          <w:sz w:val="24"/>
          <w:szCs w:val="24"/>
          <w:lang w:val="en-US"/>
        </w:rPr>
        <w:t xml:space="preserve"> tax gathering. Over 2011-2014, they increased and so the fiscal condition of the Brazilian economy deteriorated quickly. </w:t>
      </w:r>
      <w:r w:rsidR="00F43B8D" w:rsidRPr="008210C1">
        <w:rPr>
          <w:rFonts w:ascii="Times New Roman" w:hAnsi="Times New Roman" w:cs="Times New Roman"/>
          <w:sz w:val="24"/>
          <w:szCs w:val="24"/>
          <w:lang w:val="en-US"/>
        </w:rPr>
        <w:t>BCB</w:t>
      </w:r>
      <w:r w:rsidR="00616C01" w:rsidRPr="008210C1">
        <w:rPr>
          <w:rFonts w:ascii="Times New Roman" w:hAnsi="Times New Roman" w:cs="Times New Roman"/>
          <w:sz w:val="24"/>
          <w:szCs w:val="24"/>
          <w:lang w:val="en-US"/>
        </w:rPr>
        <w:t xml:space="preserve"> (2017) </w:t>
      </w:r>
      <w:r w:rsidR="00093E2C" w:rsidRPr="008210C1">
        <w:rPr>
          <w:rFonts w:ascii="Times New Roman" w:hAnsi="Times New Roman" w:cs="Times New Roman"/>
          <w:sz w:val="24"/>
          <w:szCs w:val="24"/>
          <w:lang w:val="en-US"/>
        </w:rPr>
        <w:t>confirms</w:t>
      </w:r>
      <w:r w:rsidR="00452D5C" w:rsidRPr="008210C1">
        <w:rPr>
          <w:rFonts w:ascii="Times New Roman" w:hAnsi="Times New Roman" w:cs="Times New Roman"/>
          <w:sz w:val="24"/>
          <w:szCs w:val="24"/>
          <w:lang w:val="en-US"/>
        </w:rPr>
        <w:t xml:space="preserve"> </w:t>
      </w:r>
      <w:r w:rsidR="00616C01" w:rsidRPr="008210C1">
        <w:rPr>
          <w:rFonts w:ascii="Times New Roman" w:hAnsi="Times New Roman" w:cs="Times New Roman"/>
          <w:sz w:val="24"/>
          <w:szCs w:val="24"/>
          <w:lang w:val="en-US"/>
        </w:rPr>
        <w:t xml:space="preserve">that the Federal government (including the </w:t>
      </w:r>
      <w:r w:rsidR="007B1487" w:rsidRPr="008210C1">
        <w:rPr>
          <w:rFonts w:ascii="Times New Roman" w:hAnsi="Times New Roman" w:cs="Times New Roman"/>
          <w:sz w:val="24"/>
          <w:szCs w:val="24"/>
          <w:lang w:val="en-US"/>
        </w:rPr>
        <w:t>B</w:t>
      </w:r>
      <w:r w:rsidR="00616C01" w:rsidRPr="008210C1">
        <w:rPr>
          <w:rFonts w:ascii="Times New Roman" w:hAnsi="Times New Roman" w:cs="Times New Roman"/>
          <w:sz w:val="24"/>
          <w:szCs w:val="24"/>
          <w:lang w:val="en-US"/>
        </w:rPr>
        <w:t xml:space="preserve">CB) went from a primary surplus of 1.74% of the GDP in 2013, to </w:t>
      </w:r>
      <w:r w:rsidR="00FC259D" w:rsidRPr="008210C1">
        <w:rPr>
          <w:rFonts w:ascii="Times New Roman" w:hAnsi="Times New Roman" w:cs="Times New Roman"/>
          <w:sz w:val="24"/>
          <w:szCs w:val="24"/>
          <w:lang w:val="en-US"/>
        </w:rPr>
        <w:t>a</w:t>
      </w:r>
      <w:r w:rsidR="00093E2C" w:rsidRPr="008210C1">
        <w:rPr>
          <w:rFonts w:ascii="Times New Roman" w:hAnsi="Times New Roman" w:cs="Times New Roman"/>
          <w:sz w:val="24"/>
          <w:szCs w:val="24"/>
          <w:lang w:val="en-US"/>
        </w:rPr>
        <w:t xml:space="preserve"> </w:t>
      </w:r>
      <w:r w:rsidR="006D0C06" w:rsidRPr="008210C1">
        <w:rPr>
          <w:rFonts w:ascii="Times New Roman" w:hAnsi="Times New Roman" w:cs="Times New Roman"/>
          <w:sz w:val="24"/>
          <w:szCs w:val="24"/>
          <w:lang w:val="en-US"/>
        </w:rPr>
        <w:t>deficit of</w:t>
      </w:r>
      <w:r w:rsidR="00616C01" w:rsidRPr="008210C1">
        <w:rPr>
          <w:rFonts w:ascii="Times New Roman" w:hAnsi="Times New Roman" w:cs="Times New Roman"/>
          <w:sz w:val="24"/>
          <w:szCs w:val="24"/>
          <w:lang w:val="en-US"/>
        </w:rPr>
        <w:t xml:space="preserve"> 0.49% in 2014,</w:t>
      </w:r>
      <w:r w:rsidR="000A4073" w:rsidRPr="008210C1">
        <w:rPr>
          <w:rFonts w:ascii="Times New Roman" w:hAnsi="Times New Roman" w:cs="Times New Roman"/>
          <w:sz w:val="24"/>
          <w:szCs w:val="24"/>
          <w:lang w:val="en-US"/>
        </w:rPr>
        <w:t xml:space="preserve"> </w:t>
      </w:r>
      <w:r w:rsidR="00616C01" w:rsidRPr="008210C1">
        <w:rPr>
          <w:rFonts w:ascii="Times New Roman" w:hAnsi="Times New Roman" w:cs="Times New Roman"/>
          <w:sz w:val="24"/>
          <w:szCs w:val="24"/>
          <w:lang w:val="en-US"/>
        </w:rPr>
        <w:t>1.77% in 2015 and 2</w:t>
      </w:r>
      <w:r w:rsidR="00B579F4" w:rsidRPr="008210C1">
        <w:rPr>
          <w:rFonts w:ascii="Times New Roman" w:hAnsi="Times New Roman" w:cs="Times New Roman"/>
          <w:sz w:val="24"/>
          <w:szCs w:val="24"/>
          <w:lang w:val="en-US"/>
        </w:rPr>
        <w:t>.</w:t>
      </w:r>
      <w:r w:rsidR="00616C01" w:rsidRPr="008210C1">
        <w:rPr>
          <w:rFonts w:ascii="Times New Roman" w:hAnsi="Times New Roman" w:cs="Times New Roman"/>
          <w:sz w:val="24"/>
          <w:szCs w:val="24"/>
          <w:lang w:val="en-US"/>
        </w:rPr>
        <w:t>45% in 2016. As it could not be otherwise, the general government</w:t>
      </w:r>
      <w:r w:rsidR="00616C01" w:rsidRPr="008210C1">
        <w:rPr>
          <w:rStyle w:val="Refdenotaderodap"/>
          <w:rFonts w:ascii="Times New Roman" w:hAnsi="Times New Roman" w:cs="Times New Roman"/>
          <w:sz w:val="24"/>
          <w:szCs w:val="24"/>
          <w:lang w:val="en-US"/>
        </w:rPr>
        <w:footnoteReference w:id="13"/>
      </w:r>
      <w:r w:rsidR="000A4073" w:rsidRPr="008210C1">
        <w:rPr>
          <w:rFonts w:ascii="Times New Roman" w:hAnsi="Times New Roman" w:cs="Times New Roman"/>
          <w:sz w:val="24"/>
          <w:szCs w:val="24"/>
          <w:lang w:val="en-US"/>
        </w:rPr>
        <w:t xml:space="preserve"> </w:t>
      </w:r>
      <w:r w:rsidR="00616C01" w:rsidRPr="008210C1">
        <w:rPr>
          <w:rFonts w:ascii="Times New Roman" w:hAnsi="Times New Roman" w:cs="Times New Roman"/>
          <w:sz w:val="24"/>
          <w:szCs w:val="24"/>
          <w:lang w:val="en-US"/>
        </w:rPr>
        <w:t xml:space="preserve">gross public debt swelled from 53.7% of the GDP in December 2012, to 65.5% in December 2015. </w:t>
      </w:r>
    </w:p>
    <w:p w:rsidR="00616C01" w:rsidRPr="008210C1" w:rsidRDefault="00616C01"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In view of that, conventions about the trend of </w:t>
      </w:r>
      <w:r w:rsidR="00162D99" w:rsidRPr="008210C1">
        <w:rPr>
          <w:rFonts w:ascii="Times New Roman" w:hAnsi="Times New Roman" w:cs="Times New Roman"/>
          <w:sz w:val="24"/>
          <w:szCs w:val="24"/>
          <w:lang w:val="en-US"/>
        </w:rPr>
        <w:t>FP</w:t>
      </w:r>
      <w:r w:rsidRPr="008210C1">
        <w:rPr>
          <w:rFonts w:ascii="Times New Roman" w:hAnsi="Times New Roman" w:cs="Times New Roman"/>
          <w:sz w:val="24"/>
          <w:szCs w:val="24"/>
          <w:lang w:val="en-US"/>
        </w:rPr>
        <w:t xml:space="preserve"> in Brazil were pessimistic, even being </w:t>
      </w:r>
      <w:proofErr w:type="gramStart"/>
      <w:r w:rsidRPr="008210C1">
        <w:rPr>
          <w:rFonts w:ascii="Times New Roman" w:hAnsi="Times New Roman" w:cs="Times New Roman"/>
          <w:sz w:val="24"/>
          <w:szCs w:val="24"/>
          <w:lang w:val="en-US"/>
        </w:rPr>
        <w:t>the actions</w:t>
      </w:r>
      <w:proofErr w:type="gramEnd"/>
      <w:r w:rsidRPr="008210C1">
        <w:rPr>
          <w:rFonts w:ascii="Times New Roman" w:hAnsi="Times New Roman" w:cs="Times New Roman"/>
          <w:sz w:val="24"/>
          <w:szCs w:val="24"/>
          <w:lang w:val="en-US"/>
        </w:rPr>
        <w:t xml:space="preserve"> it afforded </w:t>
      </w:r>
      <w:r w:rsidR="00093E2C" w:rsidRPr="008210C1">
        <w:rPr>
          <w:rFonts w:ascii="Times New Roman" w:hAnsi="Times New Roman" w:cs="Times New Roman"/>
          <w:sz w:val="24"/>
          <w:szCs w:val="24"/>
          <w:lang w:val="en-US"/>
        </w:rPr>
        <w:t xml:space="preserve">that </w:t>
      </w:r>
      <w:r w:rsidRPr="008210C1">
        <w:rPr>
          <w:rFonts w:ascii="Times New Roman" w:hAnsi="Times New Roman" w:cs="Times New Roman"/>
          <w:sz w:val="24"/>
          <w:szCs w:val="24"/>
          <w:lang w:val="en-US"/>
        </w:rPr>
        <w:t xml:space="preserve">meant to sustain the economic activity. </w:t>
      </w:r>
      <w:r w:rsidR="00713B86" w:rsidRPr="008210C1">
        <w:rPr>
          <w:rFonts w:ascii="Times New Roman" w:hAnsi="Times New Roman" w:cs="Times New Roman"/>
          <w:sz w:val="24"/>
          <w:szCs w:val="24"/>
          <w:lang w:val="en-US"/>
        </w:rPr>
        <w:t>Moreover</w:t>
      </w:r>
      <w:r w:rsidR="00E451DE" w:rsidRPr="008210C1">
        <w:rPr>
          <w:rFonts w:ascii="Times New Roman" w:hAnsi="Times New Roman" w:cs="Times New Roman"/>
          <w:sz w:val="24"/>
          <w:szCs w:val="24"/>
          <w:lang w:val="en-US"/>
        </w:rPr>
        <w:t xml:space="preserve">, </w:t>
      </w:r>
      <w:r w:rsidR="00E451DE" w:rsidRPr="008210C1">
        <w:rPr>
          <w:rFonts w:ascii="Times New Roman" w:hAnsi="Times New Roman" w:cs="Times New Roman"/>
          <w:sz w:val="24"/>
          <w:szCs w:val="24"/>
          <w:lang w:val="en-GB"/>
        </w:rPr>
        <w:t xml:space="preserve">contradictory beckons issued by the </w:t>
      </w:r>
      <w:r w:rsidR="00162D99" w:rsidRPr="008210C1">
        <w:rPr>
          <w:rFonts w:ascii="Times New Roman" w:hAnsi="Times New Roman" w:cs="Times New Roman"/>
          <w:sz w:val="24"/>
          <w:szCs w:val="24"/>
          <w:lang w:val="en-GB"/>
        </w:rPr>
        <w:t>FP</w:t>
      </w:r>
      <w:r w:rsidR="005F00DF" w:rsidRPr="008210C1">
        <w:rPr>
          <w:rFonts w:ascii="Times New Roman" w:hAnsi="Times New Roman" w:cs="Times New Roman"/>
          <w:sz w:val="24"/>
          <w:szCs w:val="24"/>
          <w:lang w:val="en-GB"/>
        </w:rPr>
        <w:t xml:space="preserve"> (</w:t>
      </w:r>
      <w:r w:rsidR="00E451DE" w:rsidRPr="008210C1">
        <w:rPr>
          <w:rFonts w:ascii="Times New Roman" w:hAnsi="Times New Roman" w:cs="Times New Roman"/>
          <w:sz w:val="24"/>
          <w:szCs w:val="24"/>
          <w:lang w:val="en-GB"/>
        </w:rPr>
        <w:t>primary surpluses</w:t>
      </w:r>
      <w:r w:rsidR="00CD14B5" w:rsidRPr="008210C1">
        <w:rPr>
          <w:rFonts w:ascii="Times New Roman" w:hAnsi="Times New Roman" w:cs="Times New Roman"/>
          <w:sz w:val="24"/>
          <w:szCs w:val="24"/>
          <w:lang w:val="en-GB"/>
        </w:rPr>
        <w:t xml:space="preserve"> and</w:t>
      </w:r>
      <w:r w:rsidR="00E451DE" w:rsidRPr="008210C1">
        <w:rPr>
          <w:rFonts w:ascii="Times New Roman" w:hAnsi="Times New Roman" w:cs="Times New Roman"/>
          <w:sz w:val="24"/>
          <w:szCs w:val="24"/>
          <w:lang w:val="en-GB"/>
        </w:rPr>
        <w:t xml:space="preserve"> tax allowances </w:t>
      </w:r>
      <w:r w:rsidR="006D0C06" w:rsidRPr="008210C1">
        <w:rPr>
          <w:rFonts w:ascii="Times New Roman" w:hAnsi="Times New Roman" w:cs="Times New Roman"/>
          <w:sz w:val="24"/>
          <w:szCs w:val="24"/>
          <w:lang w:val="en-GB"/>
        </w:rPr>
        <w:t>along with</w:t>
      </w:r>
      <w:r w:rsidR="00D47769" w:rsidRPr="008210C1">
        <w:rPr>
          <w:rFonts w:ascii="Times New Roman" w:hAnsi="Times New Roman" w:cs="Times New Roman"/>
          <w:sz w:val="24"/>
          <w:szCs w:val="24"/>
          <w:lang w:val="en-GB"/>
        </w:rPr>
        <w:t xml:space="preserve"> the</w:t>
      </w:r>
      <w:r w:rsidR="00E451DE" w:rsidRPr="008210C1">
        <w:rPr>
          <w:rFonts w:ascii="Times New Roman" w:hAnsi="Times New Roman" w:cs="Times New Roman"/>
          <w:sz w:val="24"/>
          <w:szCs w:val="24"/>
          <w:lang w:val="en-GB"/>
        </w:rPr>
        <w:t xml:space="preserve"> PAC)</w:t>
      </w:r>
      <w:r w:rsidR="003D736D" w:rsidRPr="008210C1">
        <w:rPr>
          <w:rFonts w:ascii="Times New Roman" w:hAnsi="Times New Roman" w:cs="Times New Roman"/>
          <w:sz w:val="24"/>
          <w:szCs w:val="24"/>
          <w:lang w:val="en-GB"/>
        </w:rPr>
        <w:t xml:space="preserve"> also</w:t>
      </w:r>
      <w:r w:rsidR="00E451DE" w:rsidRPr="008210C1">
        <w:rPr>
          <w:rFonts w:ascii="Times New Roman" w:hAnsi="Times New Roman" w:cs="Times New Roman"/>
          <w:sz w:val="24"/>
          <w:szCs w:val="24"/>
          <w:lang w:val="en-GB"/>
        </w:rPr>
        <w:t xml:space="preserve"> jeopardize</w:t>
      </w:r>
      <w:r w:rsidR="00CD14B5" w:rsidRPr="008210C1">
        <w:rPr>
          <w:rFonts w:ascii="Times New Roman" w:hAnsi="Times New Roman" w:cs="Times New Roman"/>
          <w:sz w:val="24"/>
          <w:szCs w:val="24"/>
          <w:lang w:val="en-GB"/>
        </w:rPr>
        <w:t>d</w:t>
      </w:r>
      <w:r w:rsidR="00E451DE" w:rsidRPr="008210C1">
        <w:rPr>
          <w:rFonts w:ascii="Times New Roman" w:hAnsi="Times New Roman" w:cs="Times New Roman"/>
          <w:sz w:val="24"/>
          <w:szCs w:val="24"/>
          <w:lang w:val="en-GB"/>
        </w:rPr>
        <w:t xml:space="preserve"> conventions. </w:t>
      </w:r>
      <w:r w:rsidRPr="008210C1">
        <w:rPr>
          <w:rFonts w:ascii="Times New Roman" w:hAnsi="Times New Roman" w:cs="Times New Roman"/>
          <w:sz w:val="24"/>
          <w:szCs w:val="24"/>
          <w:lang w:val="en-US"/>
        </w:rPr>
        <w:t xml:space="preserve">Public opinion wondered </w:t>
      </w:r>
      <w:r w:rsidR="00452D5C" w:rsidRPr="008210C1">
        <w:rPr>
          <w:rFonts w:ascii="Times New Roman" w:hAnsi="Times New Roman" w:cs="Times New Roman"/>
          <w:sz w:val="24"/>
          <w:szCs w:val="24"/>
          <w:lang w:val="en-US"/>
        </w:rPr>
        <w:t>whether</w:t>
      </w:r>
      <w:r w:rsidRPr="008210C1">
        <w:rPr>
          <w:rFonts w:ascii="Times New Roman" w:hAnsi="Times New Roman" w:cs="Times New Roman"/>
          <w:sz w:val="24"/>
          <w:szCs w:val="24"/>
          <w:lang w:val="en-US"/>
        </w:rPr>
        <w:t xml:space="preserve"> the </w:t>
      </w:r>
      <w:r w:rsidR="00162D99" w:rsidRPr="008210C1">
        <w:rPr>
          <w:rFonts w:ascii="Times New Roman" w:hAnsi="Times New Roman" w:cs="Times New Roman"/>
          <w:sz w:val="24"/>
          <w:szCs w:val="24"/>
          <w:lang w:val="en-US"/>
        </w:rPr>
        <w:t>FP</w:t>
      </w:r>
      <w:r w:rsidR="00CD14B5" w:rsidRPr="008210C1">
        <w:rPr>
          <w:rFonts w:ascii="Times New Roman" w:hAnsi="Times New Roman" w:cs="Times New Roman"/>
          <w:sz w:val="24"/>
          <w:szCs w:val="24"/>
          <w:lang w:val="en-US"/>
        </w:rPr>
        <w:t xml:space="preserve">’s </w:t>
      </w:r>
      <w:r w:rsidRPr="008210C1">
        <w:rPr>
          <w:rFonts w:ascii="Times New Roman" w:hAnsi="Times New Roman" w:cs="Times New Roman"/>
          <w:sz w:val="24"/>
          <w:szCs w:val="24"/>
          <w:lang w:val="en-US"/>
        </w:rPr>
        <w:t>intentions were</w:t>
      </w:r>
      <w:r w:rsidR="00B97ACA" w:rsidRPr="008210C1">
        <w:rPr>
          <w:rFonts w:ascii="Times New Roman" w:hAnsi="Times New Roman" w:cs="Times New Roman"/>
          <w:sz w:val="24"/>
          <w:szCs w:val="24"/>
          <w:lang w:val="en-US"/>
        </w:rPr>
        <w:t xml:space="preserve"> </w:t>
      </w:r>
      <w:r w:rsidR="00CD14B5" w:rsidRPr="008210C1">
        <w:rPr>
          <w:rFonts w:ascii="Times New Roman" w:hAnsi="Times New Roman" w:cs="Times New Roman"/>
          <w:sz w:val="24"/>
          <w:szCs w:val="24"/>
          <w:lang w:val="en-US"/>
        </w:rPr>
        <w:t>set</w:t>
      </w:r>
      <w:r w:rsidRPr="008210C1">
        <w:rPr>
          <w:rFonts w:ascii="Times New Roman" w:hAnsi="Times New Roman" w:cs="Times New Roman"/>
          <w:sz w:val="24"/>
          <w:szCs w:val="24"/>
          <w:lang w:val="en-US"/>
        </w:rPr>
        <w:t xml:space="preserve"> in the right direction, yet they were too costly and </w:t>
      </w:r>
      <w:r w:rsidR="00D47769" w:rsidRPr="008210C1">
        <w:rPr>
          <w:rFonts w:ascii="Times New Roman" w:hAnsi="Times New Roman" w:cs="Times New Roman"/>
          <w:sz w:val="24"/>
          <w:szCs w:val="24"/>
          <w:lang w:val="en-US"/>
        </w:rPr>
        <w:t xml:space="preserve">crumbled </w:t>
      </w:r>
      <w:r w:rsidRPr="008210C1">
        <w:rPr>
          <w:rFonts w:ascii="Times New Roman" w:hAnsi="Times New Roman" w:cs="Times New Roman"/>
          <w:sz w:val="24"/>
          <w:szCs w:val="24"/>
          <w:lang w:val="en-US"/>
        </w:rPr>
        <w:t>the fiscal situation, resulting in the upturn of the public debt.</w:t>
      </w:r>
      <w:r w:rsidR="005F00DF" w:rsidRPr="008210C1">
        <w:rPr>
          <w:rFonts w:ascii="Times New Roman" w:hAnsi="Times New Roman" w:cs="Times New Roman"/>
          <w:sz w:val="24"/>
          <w:szCs w:val="24"/>
          <w:lang w:val="en-US"/>
        </w:rPr>
        <w:t xml:space="preserve"> </w:t>
      </w:r>
      <w:r w:rsidR="000D1659" w:rsidRPr="008210C1">
        <w:rPr>
          <w:rFonts w:ascii="Times New Roman" w:hAnsi="Times New Roman" w:cs="Times New Roman"/>
          <w:sz w:val="24"/>
          <w:szCs w:val="24"/>
          <w:lang w:val="en-US"/>
        </w:rPr>
        <w:t>Anyhow, n</w:t>
      </w:r>
      <w:r w:rsidRPr="008210C1">
        <w:rPr>
          <w:rFonts w:ascii="Times New Roman" w:hAnsi="Times New Roman" w:cs="Times New Roman"/>
          <w:sz w:val="24"/>
          <w:szCs w:val="24"/>
          <w:lang w:val="en-US"/>
        </w:rPr>
        <w:t>ot only economic reasons accounted for the bummer conventions hovering over Brazil. A political crisis that emerged in 2013 and lasted until the impeachment of Rousseff, in April 2016, also</w:t>
      </w:r>
      <w:r w:rsidR="005F00DF"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bolstered the idea that public finance under her government was disordered.</w:t>
      </w:r>
    </w:p>
    <w:p w:rsidR="00616C01" w:rsidRPr="008210C1" w:rsidRDefault="00616C01"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By the end 2014, Rousseff won her second presidential election and started a new term in January 2015. Now that the fiscal situation in Bra</w:t>
      </w:r>
      <w:r w:rsidR="00D47769" w:rsidRPr="008210C1">
        <w:rPr>
          <w:rFonts w:ascii="Times New Roman" w:hAnsi="Times New Roman" w:cs="Times New Roman"/>
          <w:sz w:val="24"/>
          <w:szCs w:val="24"/>
          <w:lang w:val="en-US"/>
        </w:rPr>
        <w:t>zil was so d</w:t>
      </w:r>
      <w:r w:rsidR="00093E2C" w:rsidRPr="008210C1">
        <w:rPr>
          <w:rFonts w:ascii="Times New Roman" w:hAnsi="Times New Roman" w:cs="Times New Roman"/>
          <w:sz w:val="24"/>
          <w:szCs w:val="24"/>
          <w:lang w:val="en-US"/>
        </w:rPr>
        <w:t xml:space="preserve">owngraded, </w:t>
      </w:r>
      <w:r w:rsidR="00D47769" w:rsidRPr="008210C1">
        <w:rPr>
          <w:rFonts w:ascii="Times New Roman" w:hAnsi="Times New Roman" w:cs="Times New Roman"/>
          <w:sz w:val="24"/>
          <w:szCs w:val="24"/>
          <w:lang w:val="en-US"/>
        </w:rPr>
        <w:t xml:space="preserve">Rousseff </w:t>
      </w:r>
      <w:r w:rsidRPr="008210C1">
        <w:rPr>
          <w:rFonts w:ascii="Times New Roman" w:hAnsi="Times New Roman" w:cs="Times New Roman"/>
          <w:sz w:val="24"/>
          <w:szCs w:val="24"/>
          <w:lang w:val="en-US"/>
        </w:rPr>
        <w:t xml:space="preserve">changed </w:t>
      </w:r>
      <w:r w:rsidR="00742AF4" w:rsidRPr="008210C1">
        <w:rPr>
          <w:rFonts w:ascii="Times New Roman" w:hAnsi="Times New Roman" w:cs="Times New Roman"/>
          <w:sz w:val="24"/>
          <w:szCs w:val="24"/>
          <w:lang w:val="en-US"/>
        </w:rPr>
        <w:t>the</w:t>
      </w:r>
      <w:r w:rsidRPr="008210C1">
        <w:rPr>
          <w:rFonts w:ascii="Times New Roman" w:hAnsi="Times New Roman" w:cs="Times New Roman"/>
          <w:sz w:val="24"/>
          <w:szCs w:val="24"/>
          <w:lang w:val="en-US"/>
        </w:rPr>
        <w:t xml:space="preserve"> strategy and decided to promote a fiscal consolidation via austerity</w:t>
      </w:r>
      <w:r w:rsidR="000C7089" w:rsidRPr="008210C1">
        <w:rPr>
          <w:rFonts w:ascii="Times New Roman" w:hAnsi="Times New Roman" w:cs="Times New Roman"/>
          <w:sz w:val="24"/>
          <w:szCs w:val="24"/>
          <w:lang w:val="en-US"/>
        </w:rPr>
        <w:t xml:space="preserve"> at the time of an economic deceleration</w:t>
      </w:r>
      <w:r w:rsidRPr="008210C1">
        <w:rPr>
          <w:rFonts w:ascii="Times New Roman" w:hAnsi="Times New Roman" w:cs="Times New Roman"/>
          <w:sz w:val="24"/>
          <w:szCs w:val="24"/>
          <w:lang w:val="en-US"/>
        </w:rPr>
        <w:t xml:space="preserve">. As </w:t>
      </w:r>
      <w:proofErr w:type="spellStart"/>
      <w:r w:rsidRPr="008210C1">
        <w:rPr>
          <w:rFonts w:ascii="Times New Roman" w:hAnsi="Times New Roman" w:cs="Times New Roman"/>
          <w:sz w:val="24"/>
          <w:szCs w:val="24"/>
          <w:lang w:val="en-US"/>
        </w:rPr>
        <w:t>Arestis</w:t>
      </w:r>
      <w:proofErr w:type="spellEnd"/>
      <w:r w:rsidRPr="008210C1">
        <w:rPr>
          <w:rFonts w:ascii="Times New Roman" w:hAnsi="Times New Roman" w:cs="Times New Roman"/>
          <w:sz w:val="24"/>
          <w:szCs w:val="24"/>
          <w:lang w:val="en-US"/>
        </w:rPr>
        <w:t xml:space="preserve"> and Terra (2015) argue, these measures had a market-based nature given that the policy actions of </w:t>
      </w:r>
      <w:r w:rsidR="006C25FD" w:rsidRPr="008210C1">
        <w:rPr>
          <w:rFonts w:ascii="Times New Roman" w:hAnsi="Times New Roman" w:cs="Times New Roman"/>
          <w:sz w:val="24"/>
          <w:szCs w:val="24"/>
          <w:lang w:val="en-US"/>
        </w:rPr>
        <w:t xml:space="preserve">Rousseff’s </w:t>
      </w:r>
      <w:r w:rsidRPr="008210C1">
        <w:rPr>
          <w:rFonts w:ascii="Times New Roman" w:hAnsi="Times New Roman" w:cs="Times New Roman"/>
          <w:sz w:val="24"/>
          <w:szCs w:val="24"/>
          <w:lang w:val="en-US"/>
        </w:rPr>
        <w:t>first government were interpreted like too interventionist. Still, the</w:t>
      </w:r>
      <w:r w:rsidR="00093E2C" w:rsidRPr="008210C1">
        <w:rPr>
          <w:rFonts w:ascii="Times New Roman" w:hAnsi="Times New Roman" w:cs="Times New Roman"/>
          <w:sz w:val="24"/>
          <w:szCs w:val="24"/>
          <w:lang w:val="en-US"/>
        </w:rPr>
        <w:t>re were</w:t>
      </w:r>
      <w:r w:rsidRPr="008210C1">
        <w:rPr>
          <w:rFonts w:ascii="Times New Roman" w:hAnsi="Times New Roman" w:cs="Times New Roman"/>
          <w:sz w:val="24"/>
          <w:szCs w:val="24"/>
          <w:lang w:val="en-US"/>
        </w:rPr>
        <w:t xml:space="preserve"> two attempts of reaching fiscal consolidation</w:t>
      </w:r>
      <w:r w:rsidR="00093E2C"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the first </w:t>
      </w:r>
      <w:r w:rsidR="00093E2C" w:rsidRPr="008210C1">
        <w:rPr>
          <w:rFonts w:ascii="Times New Roman" w:hAnsi="Times New Roman" w:cs="Times New Roman"/>
          <w:sz w:val="24"/>
          <w:szCs w:val="24"/>
          <w:lang w:val="en-US"/>
        </w:rPr>
        <w:t xml:space="preserve">was </w:t>
      </w:r>
      <w:r w:rsidRPr="008210C1">
        <w:rPr>
          <w:rFonts w:ascii="Times New Roman" w:hAnsi="Times New Roman" w:cs="Times New Roman"/>
          <w:sz w:val="24"/>
          <w:szCs w:val="24"/>
          <w:lang w:val="en-US"/>
        </w:rPr>
        <w:t>a fiscal shock proposed by Minister Joaquim Levy, and the second, a gradual consolidation undertaken by Minister Nelson Barbosa</w:t>
      </w:r>
      <w:r w:rsidR="00093E2C" w:rsidRPr="008210C1">
        <w:rPr>
          <w:rFonts w:ascii="Times New Roman" w:hAnsi="Times New Roman" w:cs="Times New Roman"/>
          <w:sz w:val="24"/>
          <w:szCs w:val="24"/>
          <w:lang w:val="en-US"/>
        </w:rPr>
        <w:t xml:space="preserve">. They </w:t>
      </w:r>
      <w:r w:rsidRPr="008210C1">
        <w:rPr>
          <w:rFonts w:ascii="Times New Roman" w:hAnsi="Times New Roman" w:cs="Times New Roman"/>
          <w:sz w:val="24"/>
          <w:szCs w:val="24"/>
          <w:lang w:val="en-US"/>
        </w:rPr>
        <w:t xml:space="preserve">were not successful. </w:t>
      </w:r>
      <w:r w:rsidR="00093E2C" w:rsidRPr="008210C1">
        <w:rPr>
          <w:rFonts w:ascii="Times New Roman" w:hAnsi="Times New Roman" w:cs="Times New Roman"/>
          <w:sz w:val="24"/>
          <w:szCs w:val="24"/>
          <w:lang w:val="en-US"/>
        </w:rPr>
        <w:t xml:space="preserve"> B</w:t>
      </w:r>
      <w:r w:rsidRPr="008210C1">
        <w:rPr>
          <w:rFonts w:ascii="Times New Roman" w:hAnsi="Times New Roman" w:cs="Times New Roman"/>
          <w:sz w:val="24"/>
          <w:szCs w:val="24"/>
          <w:lang w:val="en-US"/>
        </w:rPr>
        <w:t xml:space="preserve">oth plans buoyed the conventions that Brazil was melting down and that the market-based fiscal consolidation would </w:t>
      </w:r>
      <w:r w:rsidR="006C25FD" w:rsidRPr="008210C1">
        <w:rPr>
          <w:rFonts w:ascii="Times New Roman" w:hAnsi="Times New Roman" w:cs="Times New Roman"/>
          <w:sz w:val="24"/>
          <w:szCs w:val="24"/>
          <w:lang w:val="en-US"/>
        </w:rPr>
        <w:t>withdraw</w:t>
      </w:r>
      <w:r w:rsidRPr="008210C1">
        <w:rPr>
          <w:rFonts w:ascii="Times New Roman" w:hAnsi="Times New Roman" w:cs="Times New Roman"/>
          <w:sz w:val="24"/>
          <w:szCs w:val="24"/>
          <w:lang w:val="en-US"/>
        </w:rPr>
        <w:t xml:space="preserve"> public investment. </w:t>
      </w:r>
      <w:r w:rsidR="006C25FD" w:rsidRPr="008210C1">
        <w:rPr>
          <w:rFonts w:ascii="Times New Roman" w:hAnsi="Times New Roman" w:cs="Times New Roman"/>
          <w:sz w:val="24"/>
          <w:szCs w:val="24"/>
          <w:lang w:val="en-US"/>
        </w:rPr>
        <w:t>C</w:t>
      </w:r>
      <w:r w:rsidRPr="008210C1">
        <w:rPr>
          <w:rFonts w:ascii="Times New Roman" w:hAnsi="Times New Roman" w:cs="Times New Roman"/>
          <w:sz w:val="24"/>
          <w:szCs w:val="24"/>
          <w:lang w:val="en-US"/>
        </w:rPr>
        <w:t xml:space="preserve">onventions were already not good; still they have not got anything </w:t>
      </w:r>
      <w:r w:rsidR="006C25FD" w:rsidRPr="008210C1">
        <w:rPr>
          <w:rFonts w:ascii="Times New Roman" w:hAnsi="Times New Roman" w:cs="Times New Roman"/>
          <w:sz w:val="24"/>
          <w:szCs w:val="24"/>
          <w:lang w:val="en-US"/>
        </w:rPr>
        <w:t>to</w:t>
      </w:r>
      <w:r w:rsidRPr="008210C1">
        <w:rPr>
          <w:rFonts w:ascii="Times New Roman" w:hAnsi="Times New Roman" w:cs="Times New Roman"/>
          <w:sz w:val="24"/>
          <w:szCs w:val="24"/>
          <w:lang w:val="en-US"/>
        </w:rPr>
        <w:t xml:space="preserve"> back any chance of healing with the fiscal measures the government was executing after 2015. </w:t>
      </w:r>
    </w:p>
    <w:p w:rsidR="00616C01" w:rsidRPr="008210C1" w:rsidRDefault="00616C01"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Th</w:t>
      </w:r>
      <w:r w:rsidR="00093E2C" w:rsidRPr="008210C1">
        <w:rPr>
          <w:rFonts w:ascii="Times New Roman" w:hAnsi="Times New Roman" w:cs="Times New Roman"/>
          <w:sz w:val="24"/>
          <w:szCs w:val="24"/>
          <w:lang w:val="en-US"/>
        </w:rPr>
        <w:t xml:space="preserve">at </w:t>
      </w:r>
      <w:r w:rsidRPr="008210C1">
        <w:rPr>
          <w:rFonts w:ascii="Times New Roman" w:hAnsi="Times New Roman" w:cs="Times New Roman"/>
          <w:sz w:val="24"/>
          <w:szCs w:val="24"/>
          <w:lang w:val="en-US"/>
        </w:rPr>
        <w:t xml:space="preserve">was the fiscal input to the </w:t>
      </w:r>
      <w:r w:rsidR="00093E2C" w:rsidRPr="008210C1">
        <w:rPr>
          <w:rFonts w:ascii="Times New Roman" w:hAnsi="Times New Roman" w:cs="Times New Roman"/>
          <w:sz w:val="24"/>
          <w:szCs w:val="24"/>
          <w:lang w:val="en-US"/>
        </w:rPr>
        <w:t xml:space="preserve">Brazilian </w:t>
      </w:r>
      <w:r w:rsidRPr="008210C1">
        <w:rPr>
          <w:rFonts w:ascii="Times New Roman" w:hAnsi="Times New Roman" w:cs="Times New Roman"/>
          <w:sz w:val="24"/>
          <w:szCs w:val="24"/>
          <w:lang w:val="en-US"/>
        </w:rPr>
        <w:t>crisis. The</w:t>
      </w:r>
      <w:r w:rsidR="00E44687" w:rsidRPr="008210C1">
        <w:rPr>
          <w:rFonts w:ascii="Times New Roman" w:hAnsi="Times New Roman" w:cs="Times New Roman"/>
          <w:sz w:val="24"/>
          <w:szCs w:val="24"/>
          <w:lang w:val="en-US"/>
        </w:rPr>
        <w:t xml:space="preserve"> </w:t>
      </w:r>
      <w:r w:rsidR="00B41898" w:rsidRPr="008210C1">
        <w:rPr>
          <w:rFonts w:ascii="Times New Roman" w:hAnsi="Times New Roman" w:cs="Times New Roman"/>
          <w:sz w:val="24"/>
          <w:szCs w:val="24"/>
          <w:lang w:val="en-US"/>
        </w:rPr>
        <w:t xml:space="preserve">country’s economic </w:t>
      </w:r>
      <w:r w:rsidRPr="008210C1">
        <w:rPr>
          <w:rFonts w:ascii="Times New Roman" w:hAnsi="Times New Roman" w:cs="Times New Roman"/>
          <w:sz w:val="24"/>
          <w:szCs w:val="24"/>
          <w:lang w:val="en-US"/>
        </w:rPr>
        <w:t xml:space="preserve">shrinkage amounted </w:t>
      </w:r>
      <w:r w:rsidR="00093E2C" w:rsidRPr="008210C1">
        <w:rPr>
          <w:rFonts w:ascii="Times New Roman" w:hAnsi="Times New Roman" w:cs="Times New Roman"/>
          <w:sz w:val="24"/>
          <w:szCs w:val="24"/>
          <w:lang w:val="en-US"/>
        </w:rPr>
        <w:t xml:space="preserve">to </w:t>
      </w:r>
      <w:r w:rsidRPr="008210C1">
        <w:rPr>
          <w:rFonts w:ascii="Times New Roman" w:hAnsi="Times New Roman" w:cs="Times New Roman"/>
          <w:sz w:val="24"/>
          <w:szCs w:val="24"/>
          <w:lang w:val="en-US"/>
        </w:rPr>
        <w:t>0</w:t>
      </w:r>
      <w:r w:rsidR="007C2EC3" w:rsidRPr="008210C1">
        <w:rPr>
          <w:rFonts w:ascii="Times New Roman" w:hAnsi="Times New Roman" w:cs="Times New Roman"/>
          <w:sz w:val="24"/>
          <w:szCs w:val="24"/>
          <w:lang w:val="en-US"/>
        </w:rPr>
        <w:t>.</w:t>
      </w:r>
      <w:r w:rsidR="000370BC" w:rsidRPr="008210C1">
        <w:rPr>
          <w:rFonts w:ascii="Times New Roman" w:hAnsi="Times New Roman" w:cs="Times New Roman"/>
          <w:sz w:val="24"/>
          <w:szCs w:val="24"/>
          <w:lang w:val="en-US"/>
        </w:rPr>
        <w:t>1</w:t>
      </w:r>
      <w:r w:rsidRPr="008210C1">
        <w:rPr>
          <w:rFonts w:ascii="Times New Roman" w:hAnsi="Times New Roman" w:cs="Times New Roman"/>
          <w:sz w:val="24"/>
          <w:szCs w:val="24"/>
          <w:lang w:val="en-US"/>
        </w:rPr>
        <w:t>%</w:t>
      </w:r>
      <w:r w:rsidR="000370BC" w:rsidRPr="008210C1">
        <w:rPr>
          <w:rFonts w:ascii="Times New Roman" w:hAnsi="Times New Roman" w:cs="Times New Roman"/>
          <w:sz w:val="24"/>
          <w:szCs w:val="24"/>
          <w:lang w:val="en-US"/>
        </w:rPr>
        <w:t xml:space="preserve"> in 2014, -3.8% in 2015</w:t>
      </w:r>
      <w:r w:rsidR="006C25FD" w:rsidRPr="008210C1">
        <w:rPr>
          <w:rFonts w:ascii="Times New Roman" w:hAnsi="Times New Roman" w:cs="Times New Roman"/>
          <w:sz w:val="24"/>
          <w:szCs w:val="24"/>
          <w:lang w:val="en-US"/>
        </w:rPr>
        <w:t>,</w:t>
      </w:r>
      <w:r w:rsidR="000370BC" w:rsidRPr="008210C1">
        <w:rPr>
          <w:rFonts w:ascii="Times New Roman" w:hAnsi="Times New Roman" w:cs="Times New Roman"/>
          <w:sz w:val="24"/>
          <w:szCs w:val="24"/>
          <w:lang w:val="en-US"/>
        </w:rPr>
        <w:t xml:space="preserve"> and -3.6</w:t>
      </w:r>
      <w:r w:rsidRPr="008210C1">
        <w:rPr>
          <w:rFonts w:ascii="Times New Roman" w:hAnsi="Times New Roman" w:cs="Times New Roman"/>
          <w:sz w:val="24"/>
          <w:szCs w:val="24"/>
          <w:lang w:val="en-US"/>
        </w:rPr>
        <w:t>% in 2016</w:t>
      </w:r>
      <w:r w:rsidR="00093E2C" w:rsidRPr="008210C1">
        <w:rPr>
          <w:rFonts w:ascii="Times New Roman" w:hAnsi="Times New Roman" w:cs="Times New Roman"/>
          <w:sz w:val="24"/>
          <w:szCs w:val="24"/>
          <w:lang w:val="en-US"/>
        </w:rPr>
        <w:t xml:space="preserve"> of the growth rate</w:t>
      </w:r>
      <w:r w:rsidRPr="008210C1">
        <w:rPr>
          <w:rFonts w:ascii="Times New Roman" w:hAnsi="Times New Roman" w:cs="Times New Roman"/>
          <w:sz w:val="24"/>
          <w:szCs w:val="24"/>
          <w:lang w:val="en-US"/>
        </w:rPr>
        <w:t xml:space="preserve">. </w:t>
      </w:r>
      <w:r w:rsidR="006C25FD" w:rsidRPr="008210C1">
        <w:rPr>
          <w:rFonts w:ascii="Times New Roman" w:hAnsi="Times New Roman" w:cs="Times New Roman"/>
          <w:sz w:val="24"/>
          <w:szCs w:val="24"/>
          <w:lang w:val="en-US"/>
        </w:rPr>
        <w:t>C</w:t>
      </w:r>
      <w:r w:rsidRPr="008210C1">
        <w:rPr>
          <w:rFonts w:ascii="Times New Roman" w:hAnsi="Times New Roman" w:cs="Times New Roman"/>
          <w:sz w:val="24"/>
          <w:szCs w:val="24"/>
          <w:lang w:val="en-US"/>
        </w:rPr>
        <w:t>onventions did not change when the fiscal consolidation</w:t>
      </w:r>
      <w:r w:rsidR="000370BC" w:rsidRPr="008210C1">
        <w:rPr>
          <w:rFonts w:ascii="Times New Roman" w:hAnsi="Times New Roman" w:cs="Times New Roman"/>
          <w:sz w:val="24"/>
          <w:szCs w:val="24"/>
          <w:lang w:val="en-US"/>
        </w:rPr>
        <w:t xml:space="preserve"> policy</w:t>
      </w:r>
      <w:r w:rsidRPr="008210C1">
        <w:rPr>
          <w:rFonts w:ascii="Times New Roman" w:hAnsi="Times New Roman" w:cs="Times New Roman"/>
          <w:sz w:val="24"/>
          <w:szCs w:val="24"/>
          <w:lang w:val="en-US"/>
        </w:rPr>
        <w:t xml:space="preserve"> </w:t>
      </w:r>
      <w:proofErr w:type="gramStart"/>
      <w:r w:rsidRPr="008210C1">
        <w:rPr>
          <w:rFonts w:ascii="Times New Roman" w:hAnsi="Times New Roman" w:cs="Times New Roman"/>
          <w:sz w:val="24"/>
          <w:szCs w:val="24"/>
          <w:lang w:val="en-US"/>
        </w:rPr>
        <w:t>entered into the</w:t>
      </w:r>
      <w:proofErr w:type="gramEnd"/>
      <w:r w:rsidRPr="008210C1">
        <w:rPr>
          <w:rFonts w:ascii="Times New Roman" w:hAnsi="Times New Roman" w:cs="Times New Roman"/>
          <w:sz w:val="24"/>
          <w:szCs w:val="24"/>
          <w:lang w:val="en-US"/>
        </w:rPr>
        <w:t xml:space="preserve"> scene in 2015 as well as they did not get better</w:t>
      </w:r>
      <w:r w:rsidR="00E44687"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after Rousseff’s impeachment, as Brazil</w:t>
      </w:r>
      <w:r w:rsidR="00093E2C" w:rsidRPr="008210C1">
        <w:rPr>
          <w:rFonts w:ascii="Times New Roman" w:hAnsi="Times New Roman" w:cs="Times New Roman"/>
          <w:sz w:val="24"/>
          <w:szCs w:val="24"/>
          <w:lang w:val="en-US"/>
        </w:rPr>
        <w:t>’s economy</w:t>
      </w:r>
      <w:r w:rsidRPr="008210C1">
        <w:rPr>
          <w:rFonts w:ascii="Times New Roman" w:hAnsi="Times New Roman" w:cs="Times New Roman"/>
          <w:sz w:val="24"/>
          <w:szCs w:val="24"/>
          <w:lang w:val="en-US"/>
        </w:rPr>
        <w:t xml:space="preserve"> continued </w:t>
      </w:r>
      <w:r w:rsidR="00093E2C" w:rsidRPr="008210C1">
        <w:rPr>
          <w:rFonts w:ascii="Times New Roman" w:hAnsi="Times New Roman" w:cs="Times New Roman"/>
          <w:sz w:val="24"/>
          <w:szCs w:val="24"/>
          <w:lang w:val="en-US"/>
        </w:rPr>
        <w:t xml:space="preserve">its downward path </w:t>
      </w:r>
      <w:r w:rsidRPr="008210C1">
        <w:rPr>
          <w:rFonts w:ascii="Times New Roman" w:hAnsi="Times New Roman" w:cs="Times New Roman"/>
          <w:sz w:val="24"/>
          <w:szCs w:val="24"/>
          <w:lang w:val="en-US"/>
        </w:rPr>
        <w:t xml:space="preserve">in 2016. Rather than fiscal consolidation, conventions are looking for demand drivers to promote sustainable growth, a role that public investment is </w:t>
      </w:r>
      <w:r w:rsidR="00293C86" w:rsidRPr="008210C1">
        <w:rPr>
          <w:rFonts w:ascii="Times New Roman" w:hAnsi="Times New Roman" w:cs="Times New Roman"/>
          <w:sz w:val="24"/>
          <w:szCs w:val="24"/>
          <w:lang w:val="en-US"/>
        </w:rPr>
        <w:t xml:space="preserve">expected </w:t>
      </w:r>
      <w:r w:rsidRPr="008210C1">
        <w:rPr>
          <w:rFonts w:ascii="Times New Roman" w:hAnsi="Times New Roman" w:cs="Times New Roman"/>
          <w:sz w:val="24"/>
          <w:szCs w:val="24"/>
          <w:lang w:val="en-US"/>
        </w:rPr>
        <w:t>to accomplish;</w:t>
      </w:r>
      <w:r w:rsidR="00E44687" w:rsidRPr="008210C1">
        <w:rPr>
          <w:rFonts w:ascii="Times New Roman" w:hAnsi="Times New Roman" w:cs="Times New Roman"/>
          <w:sz w:val="24"/>
          <w:szCs w:val="24"/>
          <w:lang w:val="en-US"/>
        </w:rPr>
        <w:t xml:space="preserve"> </w:t>
      </w:r>
      <w:r w:rsidR="006C25FD" w:rsidRPr="008210C1">
        <w:rPr>
          <w:rFonts w:ascii="Times New Roman" w:hAnsi="Times New Roman" w:cs="Times New Roman"/>
          <w:sz w:val="24"/>
          <w:szCs w:val="24"/>
          <w:lang w:val="en-US"/>
        </w:rPr>
        <w:t>otherwise</w:t>
      </w:r>
      <w:r w:rsidRPr="008210C1">
        <w:rPr>
          <w:rFonts w:ascii="Times New Roman" w:hAnsi="Times New Roman" w:cs="Times New Roman"/>
          <w:sz w:val="24"/>
          <w:szCs w:val="24"/>
          <w:lang w:val="en-US"/>
        </w:rPr>
        <w:t>, an absence of prone-to-invest convention outcomes</w:t>
      </w:r>
      <w:r w:rsidR="00293C86" w:rsidRPr="008210C1">
        <w:rPr>
          <w:rFonts w:ascii="Times New Roman" w:hAnsi="Times New Roman" w:cs="Times New Roman"/>
          <w:sz w:val="24"/>
          <w:szCs w:val="24"/>
          <w:lang w:val="en-US"/>
        </w:rPr>
        <w:t xml:space="preserve"> would occur, </w:t>
      </w:r>
      <w:r w:rsidRPr="008210C1">
        <w:rPr>
          <w:rFonts w:ascii="Times New Roman" w:hAnsi="Times New Roman" w:cs="Times New Roman"/>
          <w:sz w:val="24"/>
          <w:szCs w:val="24"/>
          <w:lang w:val="en-US"/>
        </w:rPr>
        <w:t>given that expectations of future have no upholds. In an uncertain world, backless conventions mean no</w:t>
      </w:r>
      <w:r w:rsidR="00E44687"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investment, unemployment</w:t>
      </w:r>
      <w:r w:rsidR="00E44687"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and</w:t>
      </w:r>
      <w:r w:rsidR="00E44687"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economic downturn.</w:t>
      </w:r>
    </w:p>
    <w:p w:rsidR="009D3EBF" w:rsidRPr="008210C1" w:rsidRDefault="009D3EBF" w:rsidP="008210C1">
      <w:pPr>
        <w:pStyle w:val="Commarcadores"/>
        <w:numPr>
          <w:ilvl w:val="0"/>
          <w:numId w:val="0"/>
        </w:numPr>
        <w:spacing w:after="0" w:line="240" w:lineRule="auto"/>
        <w:ind w:firstLine="709"/>
        <w:jc w:val="both"/>
        <w:rPr>
          <w:rFonts w:ascii="Times New Roman" w:hAnsi="Times New Roman" w:cs="Times New Roman"/>
          <w:sz w:val="24"/>
          <w:szCs w:val="24"/>
          <w:lang w:val="en-US"/>
        </w:rPr>
      </w:pPr>
    </w:p>
    <w:p w:rsidR="00E451DE" w:rsidRPr="008210C1" w:rsidRDefault="00E451DE" w:rsidP="008210C1">
      <w:pPr>
        <w:pStyle w:val="Commarcadores"/>
        <w:numPr>
          <w:ilvl w:val="0"/>
          <w:numId w:val="0"/>
        </w:numPr>
        <w:spacing w:after="0" w:line="240" w:lineRule="auto"/>
        <w:ind w:left="360" w:hanging="360"/>
        <w:jc w:val="both"/>
        <w:rPr>
          <w:rFonts w:ascii="Times New Roman" w:hAnsi="Times New Roman" w:cs="Times New Roman"/>
          <w:b/>
          <w:sz w:val="24"/>
          <w:szCs w:val="24"/>
          <w:lang w:val="en-US"/>
        </w:rPr>
      </w:pPr>
      <w:r w:rsidRPr="008210C1">
        <w:rPr>
          <w:rFonts w:ascii="Times New Roman" w:hAnsi="Times New Roman" w:cs="Times New Roman"/>
          <w:b/>
          <w:sz w:val="24"/>
          <w:szCs w:val="24"/>
          <w:lang w:val="en-US"/>
        </w:rPr>
        <w:lastRenderedPageBreak/>
        <w:t xml:space="preserve">4.3. An Erratic Monetary Policy </w:t>
      </w:r>
    </w:p>
    <w:p w:rsidR="00172FB5" w:rsidRPr="008210C1" w:rsidRDefault="00172FB5" w:rsidP="008210C1">
      <w:pPr>
        <w:spacing w:after="0" w:line="240" w:lineRule="auto"/>
        <w:ind w:firstLine="360"/>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Under </w:t>
      </w:r>
      <w:r w:rsidR="00BE7402" w:rsidRPr="008210C1">
        <w:rPr>
          <w:rFonts w:ascii="Times New Roman" w:hAnsi="Times New Roman" w:cs="Times New Roman"/>
          <w:sz w:val="24"/>
          <w:szCs w:val="24"/>
          <w:lang w:val="en-US"/>
        </w:rPr>
        <w:t>Rousseff</w:t>
      </w:r>
      <w:r w:rsidRPr="008210C1">
        <w:rPr>
          <w:rFonts w:ascii="Times New Roman" w:hAnsi="Times New Roman" w:cs="Times New Roman"/>
          <w:sz w:val="24"/>
          <w:szCs w:val="24"/>
          <w:lang w:val="en-US"/>
        </w:rPr>
        <w:t xml:space="preserve">, the </w:t>
      </w:r>
      <w:r w:rsidR="00162D99" w:rsidRPr="008210C1">
        <w:rPr>
          <w:rFonts w:ascii="Times New Roman" w:hAnsi="Times New Roman" w:cs="Times New Roman"/>
          <w:sz w:val="24"/>
          <w:szCs w:val="24"/>
          <w:lang w:val="en-US"/>
        </w:rPr>
        <w:t>MP</w:t>
      </w:r>
      <w:r w:rsidRPr="008210C1">
        <w:rPr>
          <w:rFonts w:ascii="Times New Roman" w:hAnsi="Times New Roman" w:cs="Times New Roman"/>
          <w:sz w:val="24"/>
          <w:szCs w:val="24"/>
          <w:lang w:val="en-US"/>
        </w:rPr>
        <w:t xml:space="preserve"> was managed in a diverse way in relation to past governments since the Inflation Targeting</w:t>
      </w:r>
      <w:r w:rsidR="00293C86" w:rsidRPr="008210C1">
        <w:rPr>
          <w:rFonts w:ascii="Times New Roman" w:hAnsi="Times New Roman" w:cs="Times New Roman"/>
          <w:sz w:val="24"/>
          <w:szCs w:val="24"/>
          <w:lang w:val="en-US"/>
        </w:rPr>
        <w:t xml:space="preserve"> was</w:t>
      </w:r>
      <w:r w:rsidRPr="008210C1">
        <w:rPr>
          <w:rFonts w:ascii="Times New Roman" w:hAnsi="Times New Roman" w:cs="Times New Roman"/>
          <w:sz w:val="24"/>
          <w:szCs w:val="24"/>
          <w:lang w:val="en-US"/>
        </w:rPr>
        <w:t xml:space="preserve"> initiated in 1999. Although the Regime was still in force, a sort of its mollification was tried by the </w:t>
      </w:r>
      <w:r w:rsidR="007B1487" w:rsidRPr="008210C1">
        <w:rPr>
          <w:rFonts w:ascii="Times New Roman" w:hAnsi="Times New Roman" w:cs="Times New Roman"/>
          <w:sz w:val="24"/>
          <w:szCs w:val="24"/>
          <w:lang w:val="en-US"/>
        </w:rPr>
        <w:t>B</w:t>
      </w:r>
      <w:r w:rsidRPr="008210C1">
        <w:rPr>
          <w:rFonts w:ascii="Times New Roman" w:hAnsi="Times New Roman" w:cs="Times New Roman"/>
          <w:sz w:val="24"/>
          <w:szCs w:val="24"/>
          <w:lang w:val="en-US"/>
        </w:rPr>
        <w:t>CB</w:t>
      </w:r>
      <w:r w:rsidR="00BE7402" w:rsidRPr="008210C1">
        <w:rPr>
          <w:rFonts w:ascii="Times New Roman" w:hAnsi="Times New Roman" w:cs="Times New Roman"/>
          <w:sz w:val="24"/>
          <w:szCs w:val="24"/>
          <w:lang w:val="en-US"/>
        </w:rPr>
        <w:t xml:space="preserve">, which </w:t>
      </w:r>
      <w:r w:rsidRPr="008210C1">
        <w:rPr>
          <w:rFonts w:ascii="Times New Roman" w:hAnsi="Times New Roman" w:cs="Times New Roman"/>
          <w:sz w:val="24"/>
          <w:szCs w:val="24"/>
          <w:lang w:val="en-US"/>
        </w:rPr>
        <w:t>raised its interest rate up to 12.50% per year</w:t>
      </w:r>
      <w:r w:rsidR="00BE7402" w:rsidRPr="008210C1">
        <w:rPr>
          <w:rFonts w:ascii="Times New Roman" w:hAnsi="Times New Roman" w:cs="Times New Roman"/>
          <w:sz w:val="24"/>
          <w:szCs w:val="24"/>
          <w:lang w:val="en-US"/>
        </w:rPr>
        <w:t xml:space="preserve"> in 2011</w:t>
      </w:r>
      <w:r w:rsidRPr="008210C1">
        <w:rPr>
          <w:rFonts w:ascii="Times New Roman" w:hAnsi="Times New Roman" w:cs="Times New Roman"/>
          <w:sz w:val="24"/>
          <w:szCs w:val="24"/>
          <w:lang w:val="en-US"/>
        </w:rPr>
        <w:t xml:space="preserve">, but by the end of 2011 until October 2012, </w:t>
      </w:r>
      <w:r w:rsidR="00BE7402" w:rsidRPr="008210C1">
        <w:rPr>
          <w:rFonts w:ascii="Times New Roman" w:hAnsi="Times New Roman" w:cs="Times New Roman"/>
          <w:sz w:val="24"/>
          <w:szCs w:val="24"/>
          <w:lang w:val="en-US"/>
        </w:rPr>
        <w:t>it</w:t>
      </w:r>
      <w:r w:rsidRPr="008210C1">
        <w:rPr>
          <w:rFonts w:ascii="Times New Roman" w:hAnsi="Times New Roman" w:cs="Times New Roman"/>
          <w:sz w:val="24"/>
          <w:szCs w:val="24"/>
          <w:lang w:val="en-US"/>
        </w:rPr>
        <w:t xml:space="preserve"> cut its interest rate to 7.25%, the lowest rate in </w:t>
      </w:r>
      <w:r w:rsidR="00B41898" w:rsidRPr="008210C1">
        <w:rPr>
          <w:rFonts w:ascii="Times New Roman" w:hAnsi="Times New Roman" w:cs="Times New Roman"/>
          <w:sz w:val="24"/>
          <w:szCs w:val="24"/>
          <w:lang w:val="en-US"/>
        </w:rPr>
        <w:t>decades</w:t>
      </w:r>
      <w:r w:rsidRPr="008210C1">
        <w:rPr>
          <w:rFonts w:ascii="Times New Roman" w:hAnsi="Times New Roman" w:cs="Times New Roman"/>
          <w:sz w:val="24"/>
          <w:szCs w:val="24"/>
          <w:lang w:val="en-US"/>
        </w:rPr>
        <w:t>.</w:t>
      </w:r>
    </w:p>
    <w:p w:rsidR="00293C86" w:rsidRPr="008210C1" w:rsidRDefault="00293C86" w:rsidP="008210C1">
      <w:pPr>
        <w:spacing w:after="0" w:line="240" w:lineRule="auto"/>
        <w:ind w:firstLine="360"/>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Figure </w:t>
      </w:r>
      <w:r w:rsidR="00587A12" w:rsidRPr="008210C1">
        <w:rPr>
          <w:rFonts w:ascii="Times New Roman" w:hAnsi="Times New Roman" w:cs="Times New Roman"/>
          <w:sz w:val="24"/>
          <w:szCs w:val="24"/>
          <w:lang w:val="en-US"/>
        </w:rPr>
        <w:t>2</w:t>
      </w:r>
      <w:r w:rsidR="00172FB5"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shows</w:t>
      </w:r>
      <w:r w:rsidR="003054D5" w:rsidRPr="008210C1">
        <w:rPr>
          <w:rFonts w:ascii="Times New Roman" w:hAnsi="Times New Roman" w:cs="Times New Roman"/>
          <w:sz w:val="24"/>
          <w:szCs w:val="24"/>
          <w:lang w:val="en-US"/>
        </w:rPr>
        <w:t xml:space="preserve"> that </w:t>
      </w:r>
      <w:r w:rsidR="00172FB5" w:rsidRPr="008210C1">
        <w:rPr>
          <w:rFonts w:ascii="Times New Roman" w:hAnsi="Times New Roman" w:cs="Times New Roman"/>
          <w:sz w:val="24"/>
          <w:szCs w:val="24"/>
          <w:lang w:val="en-US"/>
        </w:rPr>
        <w:t xml:space="preserve">the market rate followed </w:t>
      </w:r>
      <w:r w:rsidR="003054D5" w:rsidRPr="008210C1">
        <w:rPr>
          <w:rFonts w:ascii="Times New Roman" w:hAnsi="Times New Roman" w:cs="Times New Roman"/>
          <w:sz w:val="24"/>
          <w:szCs w:val="24"/>
          <w:lang w:val="en-US"/>
        </w:rPr>
        <w:t xml:space="preserve">BCB’s </w:t>
      </w:r>
      <w:r w:rsidR="00172FB5" w:rsidRPr="008210C1">
        <w:rPr>
          <w:rFonts w:ascii="Times New Roman" w:hAnsi="Times New Roman" w:cs="Times New Roman"/>
          <w:sz w:val="24"/>
          <w:szCs w:val="24"/>
          <w:lang w:val="en-US"/>
        </w:rPr>
        <w:t xml:space="preserve">intentions and </w:t>
      </w:r>
      <w:r w:rsidR="00BE7402" w:rsidRPr="008210C1">
        <w:rPr>
          <w:rFonts w:ascii="Times New Roman" w:hAnsi="Times New Roman" w:cs="Times New Roman"/>
          <w:sz w:val="24"/>
          <w:szCs w:val="24"/>
          <w:lang w:val="en-US"/>
        </w:rPr>
        <w:t>its</w:t>
      </w:r>
      <w:r w:rsidR="00172FB5" w:rsidRPr="008210C1">
        <w:rPr>
          <w:rFonts w:ascii="Times New Roman" w:hAnsi="Times New Roman" w:cs="Times New Roman"/>
          <w:sz w:val="24"/>
          <w:szCs w:val="24"/>
          <w:lang w:val="en-US"/>
        </w:rPr>
        <w:t xml:space="preserve"> future rate (one year ahead) was, then, at </w:t>
      </w:r>
      <w:proofErr w:type="spellStart"/>
      <w:r w:rsidR="003054D5" w:rsidRPr="008210C1">
        <w:rPr>
          <w:rFonts w:ascii="Times New Roman" w:hAnsi="Times New Roman" w:cs="Times New Roman"/>
          <w:sz w:val="24"/>
          <w:szCs w:val="24"/>
          <w:lang w:val="en-US"/>
        </w:rPr>
        <w:t>Selic’s</w:t>
      </w:r>
      <w:proofErr w:type="spellEnd"/>
      <w:r w:rsidR="003054D5" w:rsidRPr="008210C1">
        <w:rPr>
          <w:rFonts w:ascii="Times New Roman" w:hAnsi="Times New Roman" w:cs="Times New Roman"/>
          <w:sz w:val="24"/>
          <w:szCs w:val="24"/>
          <w:lang w:val="en-US"/>
        </w:rPr>
        <w:t xml:space="preserve"> </w:t>
      </w:r>
      <w:r w:rsidR="00172FB5" w:rsidRPr="008210C1">
        <w:rPr>
          <w:rFonts w:ascii="Times New Roman" w:hAnsi="Times New Roman" w:cs="Times New Roman"/>
          <w:sz w:val="24"/>
          <w:szCs w:val="24"/>
          <w:lang w:val="en-US"/>
        </w:rPr>
        <w:t xml:space="preserve">current level. This shows that the </w:t>
      </w:r>
      <w:r w:rsidR="00CB1AD3" w:rsidRPr="008210C1">
        <w:rPr>
          <w:rFonts w:ascii="Times New Roman" w:hAnsi="Times New Roman" w:cs="Times New Roman"/>
          <w:sz w:val="24"/>
          <w:szCs w:val="24"/>
          <w:lang w:val="en-US"/>
        </w:rPr>
        <w:t>MP</w:t>
      </w:r>
      <w:r w:rsidR="00172FB5" w:rsidRPr="008210C1">
        <w:rPr>
          <w:rFonts w:ascii="Times New Roman" w:hAnsi="Times New Roman" w:cs="Times New Roman"/>
          <w:sz w:val="24"/>
          <w:szCs w:val="24"/>
          <w:lang w:val="en-US"/>
        </w:rPr>
        <w:t xml:space="preserve"> was successful in building positive conventions about the future of its own policy. However, </w:t>
      </w:r>
      <w:r w:rsidRPr="008210C1">
        <w:rPr>
          <w:rFonts w:ascii="Times New Roman" w:hAnsi="Times New Roman" w:cs="Times New Roman"/>
          <w:sz w:val="24"/>
          <w:szCs w:val="24"/>
          <w:lang w:val="en-US"/>
        </w:rPr>
        <w:t xml:space="preserve">at </w:t>
      </w:r>
      <w:r w:rsidR="00172FB5" w:rsidRPr="008210C1">
        <w:rPr>
          <w:rFonts w:ascii="Times New Roman" w:hAnsi="Times New Roman" w:cs="Times New Roman"/>
          <w:sz w:val="24"/>
          <w:szCs w:val="24"/>
          <w:lang w:val="en-US"/>
        </w:rPr>
        <w:t xml:space="preserve">the beginning of 2013 the market rate started decoupling from </w:t>
      </w:r>
      <w:proofErr w:type="spellStart"/>
      <w:r w:rsidR="00172FB5" w:rsidRPr="008210C1">
        <w:rPr>
          <w:rFonts w:ascii="Times New Roman" w:hAnsi="Times New Roman" w:cs="Times New Roman"/>
          <w:sz w:val="24"/>
          <w:szCs w:val="24"/>
          <w:lang w:val="en-US"/>
        </w:rPr>
        <w:t>Selic</w:t>
      </w:r>
      <w:proofErr w:type="spellEnd"/>
      <w:r w:rsidR="00172FB5" w:rsidRPr="008210C1">
        <w:rPr>
          <w:rFonts w:ascii="Times New Roman" w:hAnsi="Times New Roman" w:cs="Times New Roman"/>
          <w:sz w:val="24"/>
          <w:szCs w:val="24"/>
          <w:lang w:val="en-US"/>
        </w:rPr>
        <w:t>, signaling that conventi</w:t>
      </w:r>
      <w:r w:rsidR="007B1487" w:rsidRPr="008210C1">
        <w:rPr>
          <w:rFonts w:ascii="Times New Roman" w:hAnsi="Times New Roman" w:cs="Times New Roman"/>
          <w:sz w:val="24"/>
          <w:szCs w:val="24"/>
          <w:lang w:val="en-US"/>
        </w:rPr>
        <w:t>ons were changing because of</w:t>
      </w:r>
      <w:r w:rsidR="00172FB5" w:rsidRPr="008210C1">
        <w:rPr>
          <w:rFonts w:ascii="Times New Roman" w:hAnsi="Times New Roman" w:cs="Times New Roman"/>
          <w:sz w:val="24"/>
          <w:szCs w:val="24"/>
          <w:lang w:val="en-US"/>
        </w:rPr>
        <w:t xml:space="preserve"> expected higher inflation, which obliged the </w:t>
      </w:r>
      <w:r w:rsidR="004965C3" w:rsidRPr="008210C1">
        <w:rPr>
          <w:rFonts w:ascii="Times New Roman" w:hAnsi="Times New Roman" w:cs="Times New Roman"/>
          <w:sz w:val="24"/>
          <w:szCs w:val="24"/>
          <w:lang w:val="en-US"/>
        </w:rPr>
        <w:t>B</w:t>
      </w:r>
      <w:r w:rsidR="00172FB5" w:rsidRPr="008210C1">
        <w:rPr>
          <w:rFonts w:ascii="Times New Roman" w:hAnsi="Times New Roman" w:cs="Times New Roman"/>
          <w:sz w:val="24"/>
          <w:szCs w:val="24"/>
          <w:lang w:val="en-US"/>
        </w:rPr>
        <w:t>CB to raise the interest rate</w:t>
      </w:r>
      <w:r w:rsidRPr="008210C1">
        <w:rPr>
          <w:rFonts w:ascii="Times New Roman" w:hAnsi="Times New Roman" w:cs="Times New Roman"/>
          <w:sz w:val="24"/>
          <w:szCs w:val="24"/>
          <w:lang w:val="en-US"/>
        </w:rPr>
        <w:t xml:space="preserve">; </w:t>
      </w:r>
      <w:r w:rsidR="00F22C50" w:rsidRPr="008210C1">
        <w:rPr>
          <w:rFonts w:ascii="Times New Roman" w:hAnsi="Times New Roman" w:cs="Times New Roman"/>
          <w:sz w:val="24"/>
          <w:szCs w:val="24"/>
          <w:lang w:val="en-US"/>
        </w:rPr>
        <w:t>so,</w:t>
      </w:r>
      <w:r w:rsidR="006A276E" w:rsidRPr="008210C1">
        <w:rPr>
          <w:rFonts w:ascii="Times New Roman" w:hAnsi="Times New Roman" w:cs="Times New Roman"/>
          <w:sz w:val="24"/>
          <w:szCs w:val="24"/>
          <w:lang w:val="en-US"/>
        </w:rPr>
        <w:t xml:space="preserve"> </w:t>
      </w:r>
      <w:r w:rsidR="007B1487" w:rsidRPr="008210C1">
        <w:rPr>
          <w:rFonts w:ascii="Times New Roman" w:hAnsi="Times New Roman" w:cs="Times New Roman"/>
          <w:sz w:val="24"/>
          <w:szCs w:val="24"/>
          <w:lang w:val="en-US"/>
        </w:rPr>
        <w:t>i</w:t>
      </w:r>
      <w:r w:rsidR="00172FB5" w:rsidRPr="008210C1">
        <w:rPr>
          <w:rFonts w:ascii="Times New Roman" w:hAnsi="Times New Roman" w:cs="Times New Roman"/>
          <w:sz w:val="24"/>
          <w:szCs w:val="24"/>
          <w:lang w:val="en-US"/>
        </w:rPr>
        <w:t xml:space="preserve">n the </w:t>
      </w:r>
      <w:r w:rsidR="007B1487" w:rsidRPr="008210C1">
        <w:rPr>
          <w:rFonts w:ascii="Times New Roman" w:hAnsi="Times New Roman" w:cs="Times New Roman"/>
          <w:sz w:val="24"/>
          <w:szCs w:val="24"/>
          <w:lang w:val="en-US"/>
        </w:rPr>
        <w:t>dawn</w:t>
      </w:r>
      <w:r w:rsidR="00172FB5" w:rsidRPr="008210C1">
        <w:rPr>
          <w:rFonts w:ascii="Times New Roman" w:hAnsi="Times New Roman" w:cs="Times New Roman"/>
          <w:sz w:val="24"/>
          <w:szCs w:val="24"/>
          <w:lang w:val="en-US"/>
        </w:rPr>
        <w:t xml:space="preserve"> of 2014, conventions of higher </w:t>
      </w:r>
      <w:r w:rsidR="007B1487" w:rsidRPr="008210C1">
        <w:rPr>
          <w:rFonts w:ascii="Times New Roman" w:hAnsi="Times New Roman" w:cs="Times New Roman"/>
          <w:sz w:val="24"/>
          <w:szCs w:val="24"/>
          <w:lang w:val="en-US"/>
        </w:rPr>
        <w:t xml:space="preserve">future </w:t>
      </w:r>
      <w:r w:rsidR="00172FB5" w:rsidRPr="008210C1">
        <w:rPr>
          <w:rFonts w:ascii="Times New Roman" w:hAnsi="Times New Roman" w:cs="Times New Roman"/>
          <w:sz w:val="24"/>
          <w:szCs w:val="24"/>
          <w:lang w:val="en-US"/>
        </w:rPr>
        <w:t>inflation were calmed</w:t>
      </w:r>
      <w:r w:rsidR="007B1487" w:rsidRPr="008210C1">
        <w:rPr>
          <w:rFonts w:ascii="Times New Roman" w:hAnsi="Times New Roman" w:cs="Times New Roman"/>
          <w:sz w:val="24"/>
          <w:szCs w:val="24"/>
          <w:lang w:val="en-US"/>
        </w:rPr>
        <w:t>.</w:t>
      </w:r>
      <w:r w:rsidR="00172FB5" w:rsidRPr="008210C1">
        <w:rPr>
          <w:rFonts w:ascii="Times New Roman" w:hAnsi="Times New Roman" w:cs="Times New Roman"/>
          <w:sz w:val="24"/>
          <w:szCs w:val="24"/>
          <w:lang w:val="en-US"/>
        </w:rPr>
        <w:t xml:space="preserve"> </w:t>
      </w:r>
      <w:r w:rsidR="007B1487" w:rsidRPr="008210C1">
        <w:rPr>
          <w:rFonts w:ascii="Times New Roman" w:hAnsi="Times New Roman" w:cs="Times New Roman"/>
          <w:sz w:val="24"/>
          <w:szCs w:val="24"/>
          <w:lang w:val="en-US"/>
        </w:rPr>
        <w:t>S</w:t>
      </w:r>
      <w:r w:rsidR="00172FB5" w:rsidRPr="008210C1">
        <w:rPr>
          <w:rFonts w:ascii="Times New Roman" w:hAnsi="Times New Roman" w:cs="Times New Roman"/>
          <w:sz w:val="24"/>
          <w:szCs w:val="24"/>
          <w:lang w:val="en-US"/>
        </w:rPr>
        <w:t xml:space="preserve">till, </w:t>
      </w:r>
      <w:r w:rsidR="007B1487" w:rsidRPr="008210C1">
        <w:rPr>
          <w:rFonts w:ascii="Times New Roman" w:hAnsi="Times New Roman" w:cs="Times New Roman"/>
          <w:sz w:val="24"/>
          <w:szCs w:val="24"/>
          <w:lang w:val="en-US"/>
        </w:rPr>
        <w:t>b</w:t>
      </w:r>
      <w:r w:rsidR="00172FB5" w:rsidRPr="008210C1">
        <w:rPr>
          <w:rFonts w:ascii="Times New Roman" w:hAnsi="Times New Roman" w:cs="Times New Roman"/>
          <w:sz w:val="24"/>
          <w:szCs w:val="24"/>
          <w:lang w:val="en-US"/>
        </w:rPr>
        <w:t xml:space="preserve">y mid-2014, conventions </w:t>
      </w:r>
      <w:r w:rsidR="00F22C50" w:rsidRPr="008210C1">
        <w:rPr>
          <w:rFonts w:ascii="Times New Roman" w:hAnsi="Times New Roman" w:cs="Times New Roman"/>
          <w:sz w:val="24"/>
          <w:szCs w:val="24"/>
          <w:lang w:val="en-US"/>
        </w:rPr>
        <w:t xml:space="preserve">saw </w:t>
      </w:r>
      <w:r w:rsidR="00172FB5" w:rsidRPr="008210C1">
        <w:rPr>
          <w:rFonts w:ascii="Times New Roman" w:hAnsi="Times New Roman" w:cs="Times New Roman"/>
          <w:sz w:val="24"/>
          <w:szCs w:val="24"/>
          <w:lang w:val="en-US"/>
        </w:rPr>
        <w:t xml:space="preserve">higher inflation </w:t>
      </w:r>
      <w:r w:rsidR="00F22C50" w:rsidRPr="008210C1">
        <w:rPr>
          <w:rFonts w:ascii="Times New Roman" w:hAnsi="Times New Roman" w:cs="Times New Roman"/>
          <w:sz w:val="24"/>
          <w:szCs w:val="24"/>
          <w:lang w:val="en-US"/>
        </w:rPr>
        <w:t xml:space="preserve">again </w:t>
      </w:r>
      <w:r w:rsidR="00172FB5" w:rsidRPr="008210C1">
        <w:rPr>
          <w:rFonts w:ascii="Times New Roman" w:hAnsi="Times New Roman" w:cs="Times New Roman"/>
          <w:sz w:val="24"/>
          <w:szCs w:val="24"/>
          <w:lang w:val="en-US"/>
        </w:rPr>
        <w:t xml:space="preserve">and </w:t>
      </w:r>
      <w:r w:rsidR="007B1487" w:rsidRPr="008210C1">
        <w:rPr>
          <w:rFonts w:ascii="Times New Roman" w:hAnsi="Times New Roman" w:cs="Times New Roman"/>
          <w:sz w:val="24"/>
          <w:szCs w:val="24"/>
          <w:lang w:val="en-US"/>
        </w:rPr>
        <w:t>so</w:t>
      </w:r>
      <w:r w:rsidRPr="008210C1">
        <w:rPr>
          <w:rFonts w:ascii="Times New Roman" w:hAnsi="Times New Roman" w:cs="Times New Roman"/>
          <w:sz w:val="24"/>
          <w:szCs w:val="24"/>
          <w:lang w:val="en-US"/>
        </w:rPr>
        <w:t xml:space="preserve">, </w:t>
      </w:r>
      <w:r w:rsidR="00172FB5" w:rsidRPr="008210C1">
        <w:rPr>
          <w:rFonts w:ascii="Times New Roman" w:hAnsi="Times New Roman" w:cs="Times New Roman"/>
          <w:sz w:val="24"/>
          <w:szCs w:val="24"/>
          <w:lang w:val="en-US"/>
        </w:rPr>
        <w:t xml:space="preserve">and because actual inflation was </w:t>
      </w:r>
      <w:r w:rsidR="00F22C50" w:rsidRPr="008210C1">
        <w:rPr>
          <w:rFonts w:ascii="Times New Roman" w:hAnsi="Times New Roman" w:cs="Times New Roman"/>
          <w:sz w:val="24"/>
          <w:szCs w:val="24"/>
          <w:lang w:val="en-US"/>
        </w:rPr>
        <w:t>expanding</w:t>
      </w:r>
      <w:r w:rsidRPr="008210C1">
        <w:rPr>
          <w:rFonts w:ascii="Times New Roman" w:hAnsi="Times New Roman" w:cs="Times New Roman"/>
          <w:sz w:val="24"/>
          <w:szCs w:val="24"/>
          <w:lang w:val="en-US"/>
        </w:rPr>
        <w:t>,</w:t>
      </w:r>
      <w:r w:rsidR="00172FB5" w:rsidRPr="008210C1">
        <w:rPr>
          <w:rFonts w:ascii="Times New Roman" w:hAnsi="Times New Roman" w:cs="Times New Roman"/>
          <w:sz w:val="24"/>
          <w:szCs w:val="24"/>
          <w:lang w:val="en-US"/>
        </w:rPr>
        <w:t xml:space="preserve"> the market rate </w:t>
      </w:r>
      <w:r w:rsidRPr="008210C1">
        <w:rPr>
          <w:rFonts w:ascii="Times New Roman" w:hAnsi="Times New Roman" w:cs="Times New Roman"/>
          <w:sz w:val="24"/>
          <w:szCs w:val="24"/>
          <w:lang w:val="en-US"/>
        </w:rPr>
        <w:t>increased</w:t>
      </w:r>
      <w:r w:rsidR="007B1487" w:rsidRPr="008210C1">
        <w:rPr>
          <w:rFonts w:ascii="Times New Roman" w:hAnsi="Times New Roman" w:cs="Times New Roman"/>
          <w:sz w:val="24"/>
          <w:szCs w:val="24"/>
          <w:lang w:val="en-US"/>
        </w:rPr>
        <w:t>. However,</w:t>
      </w:r>
      <w:r w:rsidR="00172FB5" w:rsidRPr="008210C1">
        <w:rPr>
          <w:rFonts w:ascii="Times New Roman" w:hAnsi="Times New Roman" w:cs="Times New Roman"/>
          <w:sz w:val="24"/>
          <w:szCs w:val="24"/>
          <w:lang w:val="en-US"/>
        </w:rPr>
        <w:t xml:space="preserve"> perhaps due to the electoral period, the </w:t>
      </w:r>
      <w:r w:rsidR="004965C3" w:rsidRPr="008210C1">
        <w:rPr>
          <w:rFonts w:ascii="Times New Roman" w:hAnsi="Times New Roman" w:cs="Times New Roman"/>
          <w:sz w:val="24"/>
          <w:szCs w:val="24"/>
          <w:lang w:val="en-US"/>
        </w:rPr>
        <w:t>B</w:t>
      </w:r>
      <w:r w:rsidR="00172FB5" w:rsidRPr="008210C1">
        <w:rPr>
          <w:rFonts w:ascii="Times New Roman" w:hAnsi="Times New Roman" w:cs="Times New Roman"/>
          <w:sz w:val="24"/>
          <w:szCs w:val="24"/>
          <w:lang w:val="en-US"/>
        </w:rPr>
        <w:t xml:space="preserve">CB later </w:t>
      </w:r>
      <w:r w:rsidRPr="008210C1">
        <w:rPr>
          <w:rFonts w:ascii="Times New Roman" w:hAnsi="Times New Roman" w:cs="Times New Roman"/>
          <w:sz w:val="24"/>
          <w:szCs w:val="24"/>
          <w:lang w:val="en-US"/>
        </w:rPr>
        <w:t xml:space="preserve">raised </w:t>
      </w:r>
      <w:r w:rsidR="00172FB5" w:rsidRPr="008210C1">
        <w:rPr>
          <w:rFonts w:ascii="Times New Roman" w:hAnsi="Times New Roman" w:cs="Times New Roman"/>
          <w:sz w:val="24"/>
          <w:szCs w:val="24"/>
          <w:lang w:val="en-US"/>
        </w:rPr>
        <w:t xml:space="preserve">its rate, what culminated on more deteriorated conventions on future inflation. When the </w:t>
      </w:r>
      <w:r w:rsidR="004965C3" w:rsidRPr="008210C1">
        <w:rPr>
          <w:rFonts w:ascii="Times New Roman" w:hAnsi="Times New Roman" w:cs="Times New Roman"/>
          <w:sz w:val="24"/>
          <w:szCs w:val="24"/>
          <w:lang w:val="en-US"/>
        </w:rPr>
        <w:t>B</w:t>
      </w:r>
      <w:r w:rsidR="00172FB5" w:rsidRPr="008210C1">
        <w:rPr>
          <w:rFonts w:ascii="Times New Roman" w:hAnsi="Times New Roman" w:cs="Times New Roman"/>
          <w:sz w:val="24"/>
          <w:szCs w:val="24"/>
          <w:lang w:val="en-US"/>
        </w:rPr>
        <w:t>CB finally moved its interest rate up, conventions were so sensible that compelled it to an intense climb. If productive investment was already tender, the higher opportunity cost of the financial system yield curve made it even harder to occur.</w:t>
      </w:r>
    </w:p>
    <w:p w:rsidR="00535F43" w:rsidRPr="008210C1" w:rsidRDefault="00535F43" w:rsidP="008210C1">
      <w:pPr>
        <w:spacing w:after="0" w:line="240" w:lineRule="auto"/>
        <w:ind w:firstLine="360"/>
        <w:jc w:val="both"/>
        <w:rPr>
          <w:rFonts w:ascii="Times New Roman" w:hAnsi="Times New Roman" w:cs="Times New Roman"/>
          <w:sz w:val="24"/>
          <w:szCs w:val="24"/>
          <w:lang w:val="en-US"/>
        </w:rPr>
      </w:pPr>
    </w:p>
    <w:p w:rsidR="008D0E81" w:rsidRPr="008210C1" w:rsidRDefault="00743DB8" w:rsidP="008210C1">
      <w:pPr>
        <w:keepNext/>
        <w:spacing w:after="0" w:line="240" w:lineRule="auto"/>
        <w:jc w:val="center"/>
        <w:rPr>
          <w:rFonts w:ascii="Times New Roman" w:hAnsi="Times New Roman" w:cs="Times New Roman"/>
          <w:sz w:val="24"/>
          <w:szCs w:val="24"/>
        </w:rPr>
      </w:pPr>
      <w:r w:rsidRPr="008210C1">
        <w:rPr>
          <w:rFonts w:ascii="Times New Roman" w:hAnsi="Times New Roman" w:cs="Times New Roman"/>
          <w:noProof/>
          <w:sz w:val="24"/>
          <w:szCs w:val="24"/>
          <w:lang w:val="en-GB" w:eastAsia="en-GB"/>
        </w:rPr>
        <w:drawing>
          <wp:inline distT="0" distB="0" distL="0" distR="0">
            <wp:extent cx="6120130" cy="251454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2FB5" w:rsidRPr="008210C1" w:rsidRDefault="00172FB5"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Source: Author</w:t>
      </w:r>
      <w:r w:rsidR="004965C3" w:rsidRPr="008210C1">
        <w:rPr>
          <w:rFonts w:ascii="Times New Roman" w:hAnsi="Times New Roman" w:cs="Times New Roman"/>
          <w:sz w:val="24"/>
          <w:szCs w:val="24"/>
          <w:lang w:val="en-US"/>
        </w:rPr>
        <w:t>s</w:t>
      </w:r>
      <w:r w:rsidRPr="008210C1">
        <w:rPr>
          <w:rFonts w:ascii="Times New Roman" w:hAnsi="Times New Roman" w:cs="Times New Roman"/>
          <w:sz w:val="24"/>
          <w:szCs w:val="24"/>
          <w:lang w:val="en-US"/>
        </w:rPr>
        <w:t>’ own elaboration based on BCB (2017).</w:t>
      </w:r>
    </w:p>
    <w:p w:rsidR="00671211" w:rsidRPr="008210C1" w:rsidRDefault="00172FB5"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Note: Expected Inflation Gap is the month</w:t>
      </w:r>
      <w:r w:rsidR="00FA170F" w:rsidRPr="008210C1">
        <w:rPr>
          <w:rFonts w:ascii="Times New Roman" w:hAnsi="Times New Roman" w:cs="Times New Roman"/>
          <w:sz w:val="24"/>
          <w:szCs w:val="24"/>
          <w:lang w:val="en-US"/>
        </w:rPr>
        <w:t>ly</w:t>
      </w:r>
      <w:r w:rsidRPr="008210C1">
        <w:rPr>
          <w:rFonts w:ascii="Times New Roman" w:hAnsi="Times New Roman" w:cs="Times New Roman"/>
          <w:sz w:val="24"/>
          <w:szCs w:val="24"/>
          <w:lang w:val="en-US"/>
        </w:rPr>
        <w:t xml:space="preserve"> expected Inflation minus the series’ average.</w:t>
      </w:r>
    </w:p>
    <w:p w:rsidR="00293C86" w:rsidRPr="008210C1" w:rsidRDefault="00293C86" w:rsidP="008210C1">
      <w:pPr>
        <w:spacing w:after="0" w:line="240" w:lineRule="auto"/>
        <w:jc w:val="both"/>
        <w:rPr>
          <w:rFonts w:ascii="Times New Roman" w:hAnsi="Times New Roman" w:cs="Times New Roman"/>
          <w:sz w:val="24"/>
          <w:szCs w:val="24"/>
          <w:lang w:val="en-US"/>
        </w:rPr>
      </w:pPr>
    </w:p>
    <w:p w:rsidR="00172FB5" w:rsidRPr="008210C1" w:rsidRDefault="005442EE" w:rsidP="008210C1">
      <w:pPr>
        <w:spacing w:after="0" w:line="240" w:lineRule="auto"/>
        <w:ind w:firstLine="70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What has gone wrong with the </w:t>
      </w:r>
      <w:r w:rsidR="004965C3" w:rsidRPr="008210C1">
        <w:rPr>
          <w:rFonts w:ascii="Times New Roman" w:hAnsi="Times New Roman" w:cs="Times New Roman"/>
          <w:sz w:val="24"/>
          <w:szCs w:val="24"/>
          <w:lang w:val="en-US"/>
        </w:rPr>
        <w:t xml:space="preserve">BCB </w:t>
      </w:r>
      <w:r w:rsidR="00CB1AD3" w:rsidRPr="008210C1">
        <w:rPr>
          <w:rFonts w:ascii="Times New Roman" w:hAnsi="Times New Roman" w:cs="Times New Roman"/>
          <w:sz w:val="24"/>
          <w:szCs w:val="24"/>
          <w:lang w:val="en-US"/>
        </w:rPr>
        <w:t>MP</w:t>
      </w:r>
      <w:r w:rsidRPr="008210C1">
        <w:rPr>
          <w:rFonts w:ascii="Times New Roman" w:hAnsi="Times New Roman" w:cs="Times New Roman"/>
          <w:sz w:val="24"/>
          <w:szCs w:val="24"/>
          <w:lang w:val="en-US"/>
        </w:rPr>
        <w:t xml:space="preserve">? Brazil historically has two characteristics </w:t>
      </w:r>
      <w:r w:rsidR="00293C86" w:rsidRPr="008210C1">
        <w:rPr>
          <w:rFonts w:ascii="Times New Roman" w:hAnsi="Times New Roman" w:cs="Times New Roman"/>
          <w:sz w:val="24"/>
          <w:szCs w:val="24"/>
          <w:lang w:val="en-US"/>
        </w:rPr>
        <w:t xml:space="preserve">in terms of the conduct of </w:t>
      </w:r>
      <w:r w:rsidR="00CB1AD3" w:rsidRPr="008210C1">
        <w:rPr>
          <w:rFonts w:ascii="Times New Roman" w:hAnsi="Times New Roman" w:cs="Times New Roman"/>
          <w:sz w:val="24"/>
          <w:szCs w:val="24"/>
          <w:lang w:val="en-US"/>
        </w:rPr>
        <w:t>MP</w:t>
      </w:r>
      <w:r w:rsidR="00293C86" w:rsidRPr="008210C1">
        <w:rPr>
          <w:rFonts w:ascii="Times New Roman" w:hAnsi="Times New Roman" w:cs="Times New Roman"/>
          <w:sz w:val="24"/>
          <w:szCs w:val="24"/>
          <w:lang w:val="en-US"/>
        </w:rPr>
        <w:t xml:space="preserve">. </w:t>
      </w:r>
      <w:r w:rsidR="004965C3" w:rsidRPr="008210C1">
        <w:rPr>
          <w:rFonts w:ascii="Times New Roman" w:hAnsi="Times New Roman" w:cs="Times New Roman"/>
          <w:sz w:val="24"/>
          <w:szCs w:val="24"/>
          <w:lang w:val="en-US"/>
        </w:rPr>
        <w:t>First</w:t>
      </w:r>
      <w:r w:rsidRPr="008210C1">
        <w:rPr>
          <w:rFonts w:ascii="Times New Roman" w:hAnsi="Times New Roman" w:cs="Times New Roman"/>
          <w:sz w:val="24"/>
          <w:szCs w:val="24"/>
          <w:lang w:val="en-US"/>
        </w:rPr>
        <w:t xml:space="preserve">, because of the </w:t>
      </w:r>
      <w:r w:rsidR="004965C3" w:rsidRPr="008210C1">
        <w:rPr>
          <w:rFonts w:ascii="Times New Roman" w:hAnsi="Times New Roman" w:cs="Times New Roman"/>
          <w:sz w:val="24"/>
          <w:szCs w:val="24"/>
          <w:lang w:val="en-US"/>
        </w:rPr>
        <w:t xml:space="preserve">1980s </w:t>
      </w:r>
      <w:r w:rsidRPr="008210C1">
        <w:rPr>
          <w:rFonts w:ascii="Times New Roman" w:hAnsi="Times New Roman" w:cs="Times New Roman"/>
          <w:sz w:val="24"/>
          <w:szCs w:val="24"/>
          <w:lang w:val="en-US"/>
        </w:rPr>
        <w:t>hyperinflation period, Brazilian population is too sensi</w:t>
      </w:r>
      <w:r w:rsidR="00293C86" w:rsidRPr="008210C1">
        <w:rPr>
          <w:rFonts w:ascii="Times New Roman" w:hAnsi="Times New Roman" w:cs="Times New Roman"/>
          <w:sz w:val="24"/>
          <w:szCs w:val="24"/>
          <w:lang w:val="en-US"/>
        </w:rPr>
        <w:t>tive</w:t>
      </w:r>
      <w:r w:rsidRPr="008210C1">
        <w:rPr>
          <w:rFonts w:ascii="Times New Roman" w:hAnsi="Times New Roman" w:cs="Times New Roman"/>
          <w:sz w:val="24"/>
          <w:szCs w:val="24"/>
          <w:lang w:val="en-US"/>
        </w:rPr>
        <w:t xml:space="preserve"> to variations o</w:t>
      </w:r>
      <w:r w:rsidR="00293C86" w:rsidRPr="008210C1">
        <w:rPr>
          <w:rFonts w:ascii="Times New Roman" w:hAnsi="Times New Roman" w:cs="Times New Roman"/>
          <w:sz w:val="24"/>
          <w:szCs w:val="24"/>
          <w:lang w:val="en-US"/>
        </w:rPr>
        <w:t xml:space="preserve">f </w:t>
      </w:r>
      <w:r w:rsidRPr="008210C1">
        <w:rPr>
          <w:rFonts w:ascii="Times New Roman" w:hAnsi="Times New Roman" w:cs="Times New Roman"/>
          <w:sz w:val="24"/>
          <w:szCs w:val="24"/>
          <w:lang w:val="en-US"/>
        </w:rPr>
        <w:t xml:space="preserve">inflations rates, what makes price-makers start </w:t>
      </w:r>
      <w:r w:rsidR="004965C3" w:rsidRPr="008210C1">
        <w:rPr>
          <w:rFonts w:ascii="Times New Roman" w:hAnsi="Times New Roman" w:cs="Times New Roman"/>
          <w:sz w:val="24"/>
          <w:szCs w:val="24"/>
          <w:lang w:val="en-US"/>
        </w:rPr>
        <w:t>protecting</w:t>
      </w:r>
      <w:r w:rsidRPr="008210C1">
        <w:rPr>
          <w:rFonts w:ascii="Times New Roman" w:hAnsi="Times New Roman" w:cs="Times New Roman"/>
          <w:sz w:val="24"/>
          <w:szCs w:val="24"/>
          <w:lang w:val="en-US"/>
        </w:rPr>
        <w:t xml:space="preserve"> their yield by moving their prices upwards. This fear of inflation can be seen through the automatic </w:t>
      </w:r>
      <w:r w:rsidR="00F46C6C" w:rsidRPr="008210C1">
        <w:rPr>
          <w:rFonts w:ascii="Times New Roman" w:hAnsi="Times New Roman" w:cs="Times New Roman"/>
          <w:sz w:val="24"/>
          <w:szCs w:val="24"/>
          <w:lang w:val="en-US"/>
        </w:rPr>
        <w:t>contracted price readjustments</w:t>
      </w:r>
      <w:r w:rsidRPr="008210C1">
        <w:rPr>
          <w:rFonts w:ascii="Times New Roman" w:hAnsi="Times New Roman" w:cs="Times New Roman"/>
          <w:sz w:val="24"/>
          <w:szCs w:val="24"/>
          <w:lang w:val="en-US"/>
        </w:rPr>
        <w:t xml:space="preserve"> overspread throughout the economy</w:t>
      </w:r>
      <w:r w:rsidR="001F5533" w:rsidRPr="008210C1">
        <w:rPr>
          <w:rFonts w:ascii="Times New Roman" w:hAnsi="Times New Roman" w:cs="Times New Roman"/>
          <w:sz w:val="24"/>
          <w:szCs w:val="24"/>
          <w:lang w:val="en-US"/>
        </w:rPr>
        <w:t>, which</w:t>
      </w:r>
      <w:r w:rsidR="00F46C6C" w:rsidRPr="008210C1">
        <w:rPr>
          <w:rFonts w:ascii="Times New Roman" w:hAnsi="Times New Roman" w:cs="Times New Roman"/>
          <w:sz w:val="24"/>
          <w:szCs w:val="24"/>
          <w:lang w:val="en-US"/>
        </w:rPr>
        <w:t xml:space="preserve"> adjusts</w:t>
      </w:r>
      <w:r w:rsidRPr="008210C1">
        <w:rPr>
          <w:rFonts w:ascii="Times New Roman" w:hAnsi="Times New Roman" w:cs="Times New Roman"/>
          <w:sz w:val="24"/>
          <w:szCs w:val="24"/>
          <w:lang w:val="en-US"/>
        </w:rPr>
        <w:t xml:space="preserve"> actual prices by past inflation (like rents, energy, schools</w:t>
      </w:r>
      <w:r w:rsidR="00CB1AD3"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the minimum wage, </w:t>
      </w:r>
      <w:r w:rsidR="003054D5" w:rsidRPr="008210C1">
        <w:rPr>
          <w:rFonts w:ascii="Times New Roman" w:hAnsi="Times New Roman" w:cs="Times New Roman"/>
          <w:sz w:val="24"/>
          <w:szCs w:val="24"/>
          <w:lang w:val="en-US"/>
        </w:rPr>
        <w:t>etc.</w:t>
      </w:r>
      <w:r w:rsidRPr="008210C1">
        <w:rPr>
          <w:rFonts w:ascii="Times New Roman" w:hAnsi="Times New Roman" w:cs="Times New Roman"/>
          <w:sz w:val="24"/>
          <w:szCs w:val="24"/>
          <w:lang w:val="en-US"/>
        </w:rPr>
        <w:t>). Thus, the ongoing convention</w:t>
      </w:r>
      <w:r w:rsidR="001F5533" w:rsidRPr="008210C1">
        <w:rPr>
          <w:rFonts w:ascii="Times New Roman" w:hAnsi="Times New Roman" w:cs="Times New Roman"/>
          <w:sz w:val="24"/>
          <w:szCs w:val="24"/>
          <w:lang w:val="en-US"/>
        </w:rPr>
        <w:t xml:space="preserve"> in Brazil</w:t>
      </w:r>
      <w:r w:rsidRPr="008210C1">
        <w:rPr>
          <w:rFonts w:ascii="Times New Roman" w:hAnsi="Times New Roman" w:cs="Times New Roman"/>
          <w:sz w:val="24"/>
          <w:szCs w:val="24"/>
          <w:lang w:val="en-US"/>
        </w:rPr>
        <w:t xml:space="preserve"> commonly bears fear of inflation.</w:t>
      </w:r>
      <w:r w:rsidR="00F46C6C" w:rsidRPr="008210C1">
        <w:rPr>
          <w:rFonts w:ascii="Times New Roman" w:hAnsi="Times New Roman" w:cs="Times New Roman"/>
          <w:sz w:val="24"/>
          <w:szCs w:val="24"/>
          <w:lang w:val="en-US"/>
        </w:rPr>
        <w:t xml:space="preserve"> Second</w:t>
      </w:r>
      <w:r w:rsidRPr="008210C1">
        <w:rPr>
          <w:rFonts w:ascii="Times New Roman" w:hAnsi="Times New Roman" w:cs="Times New Roman"/>
          <w:sz w:val="24"/>
          <w:szCs w:val="24"/>
          <w:lang w:val="en-US"/>
        </w:rPr>
        <w:t xml:space="preserve">, the financial system in Brazil, chiefly the concentrated banking system, has a strong communication power and easily helps forming conventions. This implies </w:t>
      </w:r>
      <w:r w:rsidR="001F5533" w:rsidRPr="008210C1">
        <w:rPr>
          <w:rFonts w:ascii="Times New Roman" w:hAnsi="Times New Roman" w:cs="Times New Roman"/>
          <w:sz w:val="24"/>
          <w:szCs w:val="24"/>
          <w:lang w:val="en-US"/>
        </w:rPr>
        <w:t>a</w:t>
      </w:r>
      <w:r w:rsidRPr="008210C1">
        <w:rPr>
          <w:rFonts w:ascii="Times New Roman" w:hAnsi="Times New Roman" w:cs="Times New Roman"/>
          <w:sz w:val="24"/>
          <w:szCs w:val="24"/>
          <w:lang w:val="en-US"/>
        </w:rPr>
        <w:t xml:space="preserve"> </w:t>
      </w:r>
      <w:r w:rsidR="001F5533" w:rsidRPr="008210C1">
        <w:rPr>
          <w:rFonts w:ascii="Times New Roman" w:hAnsi="Times New Roman" w:cs="Times New Roman"/>
          <w:sz w:val="24"/>
          <w:szCs w:val="24"/>
          <w:lang w:val="en-US"/>
        </w:rPr>
        <w:t xml:space="preserve">very-sensible-to-inflation market rate, </w:t>
      </w:r>
      <w:r w:rsidRPr="008210C1">
        <w:rPr>
          <w:rFonts w:ascii="Times New Roman" w:hAnsi="Times New Roman" w:cs="Times New Roman"/>
          <w:sz w:val="24"/>
          <w:szCs w:val="24"/>
          <w:lang w:val="en-US"/>
        </w:rPr>
        <w:t xml:space="preserve">what makes </w:t>
      </w:r>
      <w:proofErr w:type="spellStart"/>
      <w:r w:rsidR="001F5533" w:rsidRPr="008210C1">
        <w:rPr>
          <w:rFonts w:ascii="Times New Roman" w:hAnsi="Times New Roman" w:cs="Times New Roman"/>
          <w:sz w:val="24"/>
          <w:szCs w:val="24"/>
          <w:lang w:val="en-US"/>
        </w:rPr>
        <w:t>Selic</w:t>
      </w:r>
      <w:proofErr w:type="spellEnd"/>
      <w:r w:rsidRPr="008210C1">
        <w:rPr>
          <w:rFonts w:ascii="Times New Roman" w:hAnsi="Times New Roman" w:cs="Times New Roman"/>
          <w:sz w:val="24"/>
          <w:szCs w:val="24"/>
          <w:lang w:val="en-US"/>
        </w:rPr>
        <w:t xml:space="preserve"> very responsive to inflation</w:t>
      </w:r>
      <w:r w:rsidR="001F5533" w:rsidRPr="008210C1">
        <w:rPr>
          <w:rFonts w:ascii="Times New Roman" w:hAnsi="Times New Roman" w:cs="Times New Roman"/>
          <w:sz w:val="24"/>
          <w:szCs w:val="24"/>
          <w:lang w:val="en-US"/>
        </w:rPr>
        <w:t xml:space="preserve"> too</w:t>
      </w:r>
      <w:r w:rsidRPr="008210C1">
        <w:rPr>
          <w:rFonts w:ascii="Times New Roman" w:hAnsi="Times New Roman" w:cs="Times New Roman"/>
          <w:sz w:val="24"/>
          <w:szCs w:val="24"/>
          <w:lang w:val="en-US"/>
        </w:rPr>
        <w:t xml:space="preserve">. This is </w:t>
      </w:r>
      <w:r w:rsidR="00293C86" w:rsidRPr="008210C1">
        <w:rPr>
          <w:rFonts w:ascii="Times New Roman" w:hAnsi="Times New Roman" w:cs="Times New Roman"/>
          <w:sz w:val="24"/>
          <w:szCs w:val="24"/>
          <w:lang w:val="en-US"/>
        </w:rPr>
        <w:t>promoted</w:t>
      </w:r>
      <w:r w:rsidRPr="008210C1">
        <w:rPr>
          <w:rFonts w:ascii="Times New Roman" w:hAnsi="Times New Roman" w:cs="Times New Roman"/>
          <w:sz w:val="24"/>
          <w:szCs w:val="24"/>
          <w:lang w:val="en-US"/>
        </w:rPr>
        <w:t xml:space="preserve"> by the Inflation Targeting Regime, in which the interest rate is the exclusive </w:t>
      </w:r>
      <w:r w:rsidR="001F5533" w:rsidRPr="008210C1">
        <w:rPr>
          <w:rFonts w:ascii="Times New Roman" w:hAnsi="Times New Roman" w:cs="Times New Roman"/>
          <w:sz w:val="24"/>
          <w:szCs w:val="24"/>
          <w:lang w:val="en-US"/>
        </w:rPr>
        <w:t>tool</w:t>
      </w:r>
      <w:r w:rsidRPr="008210C1">
        <w:rPr>
          <w:rFonts w:ascii="Times New Roman" w:hAnsi="Times New Roman" w:cs="Times New Roman"/>
          <w:sz w:val="24"/>
          <w:szCs w:val="24"/>
          <w:lang w:val="en-US"/>
        </w:rPr>
        <w:t xml:space="preserve"> </w:t>
      </w:r>
      <w:r w:rsidR="001F5533" w:rsidRPr="008210C1">
        <w:rPr>
          <w:rFonts w:ascii="Times New Roman" w:hAnsi="Times New Roman" w:cs="Times New Roman"/>
          <w:sz w:val="24"/>
          <w:szCs w:val="24"/>
          <w:lang w:val="en-US"/>
        </w:rPr>
        <w:t xml:space="preserve">to </w:t>
      </w:r>
      <w:r w:rsidRPr="008210C1">
        <w:rPr>
          <w:rFonts w:ascii="Times New Roman" w:hAnsi="Times New Roman" w:cs="Times New Roman"/>
          <w:sz w:val="24"/>
          <w:szCs w:val="24"/>
          <w:lang w:val="en-US"/>
        </w:rPr>
        <w:t>inflation</w:t>
      </w:r>
      <w:r w:rsidR="001F5533" w:rsidRPr="008210C1">
        <w:rPr>
          <w:rFonts w:ascii="Times New Roman" w:hAnsi="Times New Roman" w:cs="Times New Roman"/>
          <w:sz w:val="24"/>
          <w:szCs w:val="24"/>
          <w:lang w:val="en-US"/>
        </w:rPr>
        <w:t xml:space="preserve"> targeting</w:t>
      </w:r>
      <w:r w:rsidRPr="008210C1">
        <w:rPr>
          <w:rFonts w:ascii="Times New Roman" w:hAnsi="Times New Roman" w:cs="Times New Roman"/>
          <w:sz w:val="24"/>
          <w:szCs w:val="24"/>
          <w:lang w:val="en-US"/>
        </w:rPr>
        <w:t xml:space="preserve">. So, </w:t>
      </w:r>
      <w:proofErr w:type="spellStart"/>
      <w:r w:rsidR="00E178AE" w:rsidRPr="008210C1">
        <w:rPr>
          <w:rFonts w:ascii="Times New Roman" w:hAnsi="Times New Roman" w:cs="Times New Roman"/>
          <w:sz w:val="24"/>
          <w:szCs w:val="24"/>
          <w:lang w:val="en-US"/>
        </w:rPr>
        <w:t>Selic</w:t>
      </w:r>
      <w:proofErr w:type="spellEnd"/>
      <w:r w:rsidR="00E178AE" w:rsidRPr="008210C1">
        <w:rPr>
          <w:rFonts w:ascii="Times New Roman" w:hAnsi="Times New Roman" w:cs="Times New Roman"/>
          <w:sz w:val="24"/>
          <w:szCs w:val="24"/>
          <w:lang w:val="en-US"/>
        </w:rPr>
        <w:t xml:space="preserve"> is very much sensible</w:t>
      </w:r>
      <w:r w:rsidRPr="008210C1">
        <w:rPr>
          <w:rFonts w:ascii="Times New Roman" w:hAnsi="Times New Roman" w:cs="Times New Roman"/>
          <w:sz w:val="24"/>
          <w:szCs w:val="24"/>
          <w:lang w:val="en-US"/>
        </w:rPr>
        <w:t xml:space="preserve"> to inflation, expected inflation and conventions that </w:t>
      </w:r>
      <w:r w:rsidR="00E178AE" w:rsidRPr="008210C1">
        <w:rPr>
          <w:rFonts w:ascii="Times New Roman" w:hAnsi="Times New Roman" w:cs="Times New Roman"/>
          <w:sz w:val="24"/>
          <w:szCs w:val="24"/>
          <w:lang w:val="en-US"/>
        </w:rPr>
        <w:t xml:space="preserve">remarkably </w:t>
      </w:r>
      <w:r w:rsidRPr="008210C1">
        <w:rPr>
          <w:rFonts w:ascii="Times New Roman" w:hAnsi="Times New Roman" w:cs="Times New Roman"/>
          <w:sz w:val="24"/>
          <w:szCs w:val="24"/>
          <w:lang w:val="en-US"/>
        </w:rPr>
        <w:t xml:space="preserve">fear inflation, making it hard </w:t>
      </w:r>
      <w:r w:rsidR="00293C86" w:rsidRPr="008210C1">
        <w:rPr>
          <w:rFonts w:ascii="Times New Roman" w:hAnsi="Times New Roman" w:cs="Times New Roman"/>
          <w:sz w:val="24"/>
          <w:szCs w:val="24"/>
          <w:lang w:val="en-US"/>
        </w:rPr>
        <w:t xml:space="preserve">for </w:t>
      </w:r>
      <w:r w:rsidRPr="008210C1">
        <w:rPr>
          <w:rFonts w:ascii="Times New Roman" w:hAnsi="Times New Roman" w:cs="Times New Roman"/>
          <w:sz w:val="24"/>
          <w:szCs w:val="24"/>
          <w:lang w:val="en-US"/>
        </w:rPr>
        <w:t xml:space="preserve">the </w:t>
      </w:r>
      <w:r w:rsidR="00E178AE" w:rsidRPr="008210C1">
        <w:rPr>
          <w:rFonts w:ascii="Times New Roman" w:hAnsi="Times New Roman" w:cs="Times New Roman"/>
          <w:sz w:val="24"/>
          <w:szCs w:val="24"/>
          <w:lang w:val="en-US"/>
        </w:rPr>
        <w:t>B</w:t>
      </w:r>
      <w:r w:rsidRPr="008210C1">
        <w:rPr>
          <w:rFonts w:ascii="Times New Roman" w:hAnsi="Times New Roman" w:cs="Times New Roman"/>
          <w:sz w:val="24"/>
          <w:szCs w:val="24"/>
          <w:lang w:val="en-US"/>
        </w:rPr>
        <w:t xml:space="preserve">CB </w:t>
      </w:r>
      <w:r w:rsidR="00293C86" w:rsidRPr="008210C1">
        <w:rPr>
          <w:rFonts w:ascii="Times New Roman" w:hAnsi="Times New Roman" w:cs="Times New Roman"/>
          <w:sz w:val="24"/>
          <w:szCs w:val="24"/>
          <w:lang w:val="en-US"/>
        </w:rPr>
        <w:t xml:space="preserve">to </w:t>
      </w:r>
      <w:r w:rsidRPr="008210C1">
        <w:rPr>
          <w:rFonts w:ascii="Times New Roman" w:hAnsi="Times New Roman" w:cs="Times New Roman"/>
          <w:sz w:val="24"/>
          <w:szCs w:val="24"/>
          <w:lang w:val="en-US"/>
        </w:rPr>
        <w:t xml:space="preserve">drive </w:t>
      </w:r>
      <w:r w:rsidR="00E178AE" w:rsidRPr="008210C1">
        <w:rPr>
          <w:rFonts w:ascii="Times New Roman" w:hAnsi="Times New Roman" w:cs="Times New Roman"/>
          <w:sz w:val="24"/>
          <w:szCs w:val="24"/>
          <w:lang w:val="en-US"/>
        </w:rPr>
        <w:t xml:space="preserve">a prone-to-investment </w:t>
      </w:r>
      <w:proofErr w:type="spellStart"/>
      <w:r w:rsidR="00E178AE" w:rsidRPr="008210C1">
        <w:rPr>
          <w:rFonts w:ascii="Times New Roman" w:hAnsi="Times New Roman" w:cs="Times New Roman"/>
          <w:sz w:val="24"/>
          <w:szCs w:val="24"/>
          <w:lang w:val="en-US"/>
        </w:rPr>
        <w:t>Selic</w:t>
      </w:r>
      <w:proofErr w:type="spellEnd"/>
      <w:r w:rsidRPr="008210C1">
        <w:rPr>
          <w:rFonts w:ascii="Times New Roman" w:hAnsi="Times New Roman" w:cs="Times New Roman"/>
          <w:sz w:val="24"/>
          <w:szCs w:val="24"/>
          <w:lang w:val="en-US"/>
        </w:rPr>
        <w:t>.</w:t>
      </w:r>
    </w:p>
    <w:p w:rsidR="002931EB" w:rsidRPr="008210C1" w:rsidRDefault="00D2393A" w:rsidP="008210C1">
      <w:pPr>
        <w:spacing w:after="0" w:line="240" w:lineRule="auto"/>
        <w:ind w:firstLine="70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Thus</w:t>
      </w:r>
      <w:r w:rsidR="002A3C44" w:rsidRPr="008210C1">
        <w:rPr>
          <w:rFonts w:ascii="Times New Roman" w:hAnsi="Times New Roman" w:cs="Times New Roman"/>
          <w:sz w:val="24"/>
          <w:szCs w:val="24"/>
          <w:lang w:val="en-US"/>
        </w:rPr>
        <w:t xml:space="preserve">, if the </w:t>
      </w:r>
      <w:r w:rsidR="00E32048" w:rsidRPr="008210C1">
        <w:rPr>
          <w:rFonts w:ascii="Times New Roman" w:hAnsi="Times New Roman" w:cs="Times New Roman"/>
          <w:sz w:val="24"/>
          <w:szCs w:val="24"/>
          <w:lang w:val="en-US"/>
        </w:rPr>
        <w:t>BCB</w:t>
      </w:r>
      <w:r w:rsidR="00293C86" w:rsidRPr="008210C1">
        <w:rPr>
          <w:rFonts w:ascii="Times New Roman" w:hAnsi="Times New Roman" w:cs="Times New Roman"/>
          <w:sz w:val="24"/>
          <w:szCs w:val="24"/>
          <w:lang w:val="en-US"/>
        </w:rPr>
        <w:t>’s</w:t>
      </w:r>
      <w:r w:rsidR="00E32048" w:rsidRPr="008210C1">
        <w:rPr>
          <w:rFonts w:ascii="Times New Roman" w:hAnsi="Times New Roman" w:cs="Times New Roman"/>
          <w:sz w:val="24"/>
          <w:szCs w:val="24"/>
          <w:lang w:val="en-US"/>
        </w:rPr>
        <w:t xml:space="preserve"> </w:t>
      </w:r>
      <w:r w:rsidR="002A3C44" w:rsidRPr="008210C1">
        <w:rPr>
          <w:rFonts w:ascii="Times New Roman" w:hAnsi="Times New Roman" w:cs="Times New Roman"/>
          <w:sz w:val="24"/>
          <w:szCs w:val="24"/>
          <w:lang w:val="en-US"/>
        </w:rPr>
        <w:t>intention</w:t>
      </w:r>
      <w:r w:rsidR="00293C86" w:rsidRPr="008210C1">
        <w:rPr>
          <w:rFonts w:ascii="Times New Roman" w:hAnsi="Times New Roman" w:cs="Times New Roman"/>
          <w:sz w:val="24"/>
          <w:szCs w:val="24"/>
          <w:lang w:val="en-US"/>
        </w:rPr>
        <w:t xml:space="preserve"> is </w:t>
      </w:r>
      <w:r w:rsidR="002A3C44" w:rsidRPr="008210C1">
        <w:rPr>
          <w:rFonts w:ascii="Times New Roman" w:hAnsi="Times New Roman" w:cs="Times New Roman"/>
          <w:sz w:val="24"/>
          <w:szCs w:val="24"/>
          <w:lang w:val="en-US"/>
        </w:rPr>
        <w:t xml:space="preserve">to </w:t>
      </w:r>
      <w:r w:rsidR="00293C86" w:rsidRPr="008210C1">
        <w:rPr>
          <w:rFonts w:ascii="Times New Roman" w:hAnsi="Times New Roman" w:cs="Times New Roman"/>
          <w:sz w:val="24"/>
          <w:szCs w:val="24"/>
          <w:lang w:val="en-US"/>
        </w:rPr>
        <w:t xml:space="preserve">reduce the </w:t>
      </w:r>
      <w:proofErr w:type="spellStart"/>
      <w:r w:rsidR="00E32048" w:rsidRPr="008210C1">
        <w:rPr>
          <w:rFonts w:ascii="Times New Roman" w:hAnsi="Times New Roman" w:cs="Times New Roman"/>
          <w:sz w:val="24"/>
          <w:szCs w:val="24"/>
          <w:lang w:val="en-US"/>
        </w:rPr>
        <w:t>Selic</w:t>
      </w:r>
      <w:proofErr w:type="spellEnd"/>
      <w:r w:rsidR="002A3C44" w:rsidRPr="008210C1">
        <w:rPr>
          <w:rFonts w:ascii="Times New Roman" w:hAnsi="Times New Roman" w:cs="Times New Roman"/>
          <w:sz w:val="24"/>
          <w:szCs w:val="24"/>
          <w:lang w:val="en-US"/>
        </w:rPr>
        <w:t xml:space="preserve"> and if it ma</w:t>
      </w:r>
      <w:r w:rsidR="00A43256" w:rsidRPr="008210C1">
        <w:rPr>
          <w:rFonts w:ascii="Times New Roman" w:hAnsi="Times New Roman" w:cs="Times New Roman"/>
          <w:sz w:val="24"/>
          <w:szCs w:val="24"/>
          <w:lang w:val="en-US"/>
        </w:rPr>
        <w:t>kes</w:t>
      </w:r>
      <w:r w:rsidR="002A3C44" w:rsidRPr="008210C1">
        <w:rPr>
          <w:rFonts w:ascii="Times New Roman" w:hAnsi="Times New Roman" w:cs="Times New Roman"/>
          <w:sz w:val="24"/>
          <w:szCs w:val="24"/>
          <w:lang w:val="en-US"/>
        </w:rPr>
        <w:t xml:space="preserve"> it happen </w:t>
      </w:r>
      <w:r w:rsidR="00A43256" w:rsidRPr="008210C1">
        <w:rPr>
          <w:rFonts w:ascii="Times New Roman" w:hAnsi="Times New Roman" w:cs="Times New Roman"/>
          <w:sz w:val="24"/>
          <w:szCs w:val="24"/>
          <w:lang w:val="en-US"/>
        </w:rPr>
        <w:t>on</w:t>
      </w:r>
      <w:r w:rsidR="002A3C44" w:rsidRPr="008210C1">
        <w:rPr>
          <w:rFonts w:ascii="Times New Roman" w:hAnsi="Times New Roman" w:cs="Times New Roman"/>
          <w:sz w:val="24"/>
          <w:szCs w:val="24"/>
          <w:lang w:val="en-US"/>
        </w:rPr>
        <w:t xml:space="preserve"> conventions that the low</w:t>
      </w:r>
      <w:r w:rsidR="00E32048" w:rsidRPr="008210C1">
        <w:rPr>
          <w:rFonts w:ascii="Times New Roman" w:hAnsi="Times New Roman" w:cs="Times New Roman"/>
          <w:sz w:val="24"/>
          <w:szCs w:val="24"/>
          <w:lang w:val="en-US"/>
        </w:rPr>
        <w:t>er</w:t>
      </w:r>
      <w:r w:rsidR="002A3C44" w:rsidRPr="008210C1">
        <w:rPr>
          <w:rFonts w:ascii="Times New Roman" w:hAnsi="Times New Roman" w:cs="Times New Roman"/>
          <w:sz w:val="24"/>
          <w:szCs w:val="24"/>
          <w:lang w:val="en-US"/>
        </w:rPr>
        <w:t xml:space="preserve"> interest rate would continue </w:t>
      </w:r>
      <w:r w:rsidR="00E32048" w:rsidRPr="008210C1">
        <w:rPr>
          <w:rFonts w:ascii="Times New Roman" w:hAnsi="Times New Roman" w:cs="Times New Roman"/>
          <w:sz w:val="24"/>
          <w:szCs w:val="24"/>
          <w:lang w:val="en-US"/>
        </w:rPr>
        <w:t>in</w:t>
      </w:r>
      <w:r w:rsidR="002A3C44" w:rsidRPr="008210C1">
        <w:rPr>
          <w:rFonts w:ascii="Times New Roman" w:hAnsi="Times New Roman" w:cs="Times New Roman"/>
          <w:sz w:val="24"/>
          <w:szCs w:val="24"/>
          <w:lang w:val="en-US"/>
        </w:rPr>
        <w:t xml:space="preserve"> the future, it should </w:t>
      </w:r>
      <w:r w:rsidR="00A43256" w:rsidRPr="008210C1">
        <w:rPr>
          <w:rFonts w:ascii="Times New Roman" w:hAnsi="Times New Roman" w:cs="Times New Roman"/>
          <w:sz w:val="24"/>
          <w:szCs w:val="24"/>
          <w:lang w:val="en-US"/>
        </w:rPr>
        <w:t>take</w:t>
      </w:r>
      <w:r w:rsidR="002A3C44" w:rsidRPr="008210C1">
        <w:rPr>
          <w:rFonts w:ascii="Times New Roman" w:hAnsi="Times New Roman" w:cs="Times New Roman"/>
          <w:sz w:val="24"/>
          <w:szCs w:val="24"/>
          <w:lang w:val="en-US"/>
        </w:rPr>
        <w:t xml:space="preserve"> full care of inflation expectations. In Keynesian terms, this would be the construction of the guidance necessary to ground conventions, building an institutional environment keen to productive investments. </w:t>
      </w:r>
      <w:r w:rsidR="00E32048" w:rsidRPr="008210C1">
        <w:rPr>
          <w:rFonts w:ascii="Times New Roman" w:hAnsi="Times New Roman" w:cs="Times New Roman"/>
          <w:sz w:val="24"/>
          <w:szCs w:val="24"/>
          <w:lang w:val="en-US"/>
        </w:rPr>
        <w:t>Though</w:t>
      </w:r>
      <w:r w:rsidR="002A3C44" w:rsidRPr="008210C1">
        <w:rPr>
          <w:rFonts w:ascii="Times New Roman" w:hAnsi="Times New Roman" w:cs="Times New Roman"/>
          <w:sz w:val="24"/>
          <w:szCs w:val="24"/>
          <w:lang w:val="en-US"/>
        </w:rPr>
        <w:t xml:space="preserve">, to accommodate </w:t>
      </w:r>
      <w:r w:rsidR="002A3C44" w:rsidRPr="008210C1">
        <w:rPr>
          <w:rFonts w:ascii="Times New Roman" w:hAnsi="Times New Roman" w:cs="Times New Roman"/>
          <w:sz w:val="24"/>
          <w:szCs w:val="24"/>
          <w:lang w:val="en-US"/>
        </w:rPr>
        <w:lastRenderedPageBreak/>
        <w:t>inflation, Rousseff’s government started freezing administered prices, mainly oil and its products</w:t>
      </w:r>
      <w:r w:rsidR="00FB5E34" w:rsidRPr="008210C1">
        <w:rPr>
          <w:rFonts w:ascii="Times New Roman" w:hAnsi="Times New Roman" w:cs="Times New Roman"/>
          <w:sz w:val="24"/>
          <w:szCs w:val="24"/>
          <w:lang w:val="en-US"/>
        </w:rPr>
        <w:t>,</w:t>
      </w:r>
      <w:r w:rsidR="002A3C44" w:rsidRPr="008210C1">
        <w:rPr>
          <w:rFonts w:ascii="Times New Roman" w:hAnsi="Times New Roman" w:cs="Times New Roman"/>
          <w:sz w:val="24"/>
          <w:szCs w:val="24"/>
          <w:lang w:val="en-US"/>
        </w:rPr>
        <w:t xml:space="preserve"> as well as changing contracts of energy producers in a </w:t>
      </w:r>
      <w:r w:rsidR="00FB5E34" w:rsidRPr="008210C1">
        <w:rPr>
          <w:rFonts w:ascii="Times New Roman" w:hAnsi="Times New Roman" w:cs="Times New Roman"/>
          <w:sz w:val="24"/>
          <w:szCs w:val="24"/>
          <w:lang w:val="en-US"/>
        </w:rPr>
        <w:t xml:space="preserve">unilateral </w:t>
      </w:r>
      <w:r w:rsidR="002A3C44" w:rsidRPr="008210C1">
        <w:rPr>
          <w:rFonts w:ascii="Times New Roman" w:hAnsi="Times New Roman" w:cs="Times New Roman"/>
          <w:sz w:val="24"/>
          <w:szCs w:val="24"/>
          <w:lang w:val="en-US"/>
        </w:rPr>
        <w:t xml:space="preserve">negotiation.  </w:t>
      </w:r>
      <w:r w:rsidR="00A43256" w:rsidRPr="008210C1">
        <w:rPr>
          <w:rFonts w:ascii="Times New Roman" w:hAnsi="Times New Roman" w:cs="Times New Roman"/>
          <w:sz w:val="24"/>
          <w:szCs w:val="24"/>
          <w:lang w:val="en-US"/>
        </w:rPr>
        <w:t xml:space="preserve">It also </w:t>
      </w:r>
      <w:r w:rsidR="002A3C44" w:rsidRPr="008210C1">
        <w:rPr>
          <w:rFonts w:ascii="Times New Roman" w:hAnsi="Times New Roman" w:cs="Times New Roman"/>
          <w:sz w:val="24"/>
          <w:szCs w:val="24"/>
          <w:lang w:val="en-US"/>
        </w:rPr>
        <w:t xml:space="preserve">excluded some products of the inflation index to smooth its trend and transformed the superior range of the inflation target in the </w:t>
      </w:r>
      <w:r w:rsidR="00DF7E15" w:rsidRPr="008210C1">
        <w:rPr>
          <w:rFonts w:ascii="Times New Roman" w:hAnsi="Times New Roman" w:cs="Times New Roman"/>
          <w:sz w:val="24"/>
          <w:szCs w:val="24"/>
          <w:lang w:val="en-US"/>
        </w:rPr>
        <w:t>pursued target</w:t>
      </w:r>
      <w:r w:rsidR="002A3C44" w:rsidRPr="008210C1">
        <w:rPr>
          <w:rFonts w:ascii="Times New Roman" w:hAnsi="Times New Roman" w:cs="Times New Roman"/>
          <w:sz w:val="24"/>
          <w:szCs w:val="24"/>
          <w:lang w:val="en-US"/>
        </w:rPr>
        <w:t xml:space="preserve">. </w:t>
      </w:r>
      <w:r w:rsidR="00ED0642" w:rsidRPr="008210C1">
        <w:rPr>
          <w:rFonts w:ascii="Times New Roman" w:hAnsi="Times New Roman" w:cs="Times New Roman"/>
          <w:sz w:val="24"/>
          <w:szCs w:val="24"/>
          <w:lang w:val="en-US"/>
        </w:rPr>
        <w:t>BCB undertook t</w:t>
      </w:r>
      <w:r w:rsidR="002A3C44" w:rsidRPr="008210C1">
        <w:rPr>
          <w:rFonts w:ascii="Times New Roman" w:hAnsi="Times New Roman" w:cs="Times New Roman"/>
          <w:sz w:val="24"/>
          <w:szCs w:val="24"/>
          <w:lang w:val="en-US"/>
        </w:rPr>
        <w:t>h</w:t>
      </w:r>
      <w:r w:rsidR="00A43256" w:rsidRPr="008210C1">
        <w:rPr>
          <w:rFonts w:ascii="Times New Roman" w:hAnsi="Times New Roman" w:cs="Times New Roman"/>
          <w:sz w:val="24"/>
          <w:szCs w:val="24"/>
          <w:lang w:val="en-US"/>
        </w:rPr>
        <w:t>o</w:t>
      </w:r>
      <w:r w:rsidR="002A3C44" w:rsidRPr="008210C1">
        <w:rPr>
          <w:rFonts w:ascii="Times New Roman" w:hAnsi="Times New Roman" w:cs="Times New Roman"/>
          <w:sz w:val="24"/>
          <w:szCs w:val="24"/>
          <w:lang w:val="en-US"/>
        </w:rPr>
        <w:t xml:space="preserve">se actions without </w:t>
      </w:r>
      <w:r w:rsidR="00A43256" w:rsidRPr="008210C1">
        <w:rPr>
          <w:rFonts w:ascii="Times New Roman" w:hAnsi="Times New Roman" w:cs="Times New Roman"/>
          <w:sz w:val="24"/>
          <w:szCs w:val="24"/>
          <w:lang w:val="en-US"/>
        </w:rPr>
        <w:t xml:space="preserve">accounting for the public’s expectations on </w:t>
      </w:r>
      <w:r w:rsidR="00C25D84" w:rsidRPr="008210C1">
        <w:rPr>
          <w:rFonts w:ascii="Times New Roman" w:hAnsi="Times New Roman" w:cs="Times New Roman"/>
          <w:sz w:val="24"/>
          <w:szCs w:val="24"/>
          <w:lang w:val="en-US"/>
        </w:rPr>
        <w:t>the economic policy goals</w:t>
      </w:r>
      <w:r w:rsidR="002A3C44" w:rsidRPr="008210C1">
        <w:rPr>
          <w:rFonts w:ascii="Times New Roman" w:hAnsi="Times New Roman" w:cs="Times New Roman"/>
          <w:sz w:val="24"/>
          <w:szCs w:val="24"/>
          <w:lang w:val="en-US"/>
        </w:rPr>
        <w:t>.</w:t>
      </w:r>
      <w:r w:rsidR="001C3AFD" w:rsidRPr="008210C1">
        <w:rPr>
          <w:rFonts w:ascii="Times New Roman" w:hAnsi="Times New Roman" w:cs="Times New Roman"/>
          <w:sz w:val="24"/>
          <w:szCs w:val="24"/>
          <w:lang w:val="en-US"/>
        </w:rPr>
        <w:t xml:space="preserve"> </w:t>
      </w:r>
      <w:r w:rsidR="00C25D84" w:rsidRPr="008210C1">
        <w:rPr>
          <w:rFonts w:ascii="Times New Roman" w:hAnsi="Times New Roman" w:cs="Times New Roman"/>
          <w:sz w:val="24"/>
          <w:szCs w:val="24"/>
          <w:lang w:val="en-US"/>
        </w:rPr>
        <w:t>Contrari</w:t>
      </w:r>
      <w:r w:rsidR="002931EB" w:rsidRPr="008210C1">
        <w:rPr>
          <w:rFonts w:ascii="Times New Roman" w:hAnsi="Times New Roman" w:cs="Times New Roman"/>
          <w:sz w:val="24"/>
          <w:szCs w:val="24"/>
          <w:lang w:val="en-US"/>
        </w:rPr>
        <w:t>ly</w:t>
      </w:r>
      <w:r w:rsidR="002A3C44" w:rsidRPr="008210C1">
        <w:rPr>
          <w:rFonts w:ascii="Times New Roman" w:hAnsi="Times New Roman" w:cs="Times New Roman"/>
          <w:sz w:val="24"/>
          <w:szCs w:val="24"/>
          <w:lang w:val="en-US"/>
        </w:rPr>
        <w:t xml:space="preserve">, the government insisted that it was seeking the </w:t>
      </w:r>
      <w:r w:rsidR="002931EB" w:rsidRPr="008210C1">
        <w:rPr>
          <w:rFonts w:ascii="Times New Roman" w:hAnsi="Times New Roman" w:cs="Times New Roman"/>
          <w:sz w:val="24"/>
          <w:szCs w:val="24"/>
          <w:lang w:val="en-US"/>
        </w:rPr>
        <w:t>inflation target blank</w:t>
      </w:r>
      <w:r w:rsidR="002A3C44" w:rsidRPr="008210C1">
        <w:rPr>
          <w:rFonts w:ascii="Times New Roman" w:hAnsi="Times New Roman" w:cs="Times New Roman"/>
          <w:sz w:val="24"/>
          <w:szCs w:val="24"/>
          <w:lang w:val="en-US"/>
        </w:rPr>
        <w:t xml:space="preserve">, that the exchange rate was entirely </w:t>
      </w:r>
      <w:r w:rsidR="002931EB" w:rsidRPr="008210C1">
        <w:rPr>
          <w:rFonts w:ascii="Times New Roman" w:hAnsi="Times New Roman" w:cs="Times New Roman"/>
          <w:sz w:val="24"/>
          <w:szCs w:val="24"/>
          <w:lang w:val="en-US"/>
        </w:rPr>
        <w:t xml:space="preserve">market </w:t>
      </w:r>
      <w:r w:rsidR="002A3C44" w:rsidRPr="008210C1">
        <w:rPr>
          <w:rFonts w:ascii="Times New Roman" w:hAnsi="Times New Roman" w:cs="Times New Roman"/>
          <w:sz w:val="24"/>
          <w:szCs w:val="24"/>
          <w:lang w:val="en-US"/>
        </w:rPr>
        <w:t xml:space="preserve">determined and that the fiscal situation was </w:t>
      </w:r>
      <w:r w:rsidR="002931EB" w:rsidRPr="008210C1">
        <w:rPr>
          <w:rFonts w:ascii="Times New Roman" w:hAnsi="Times New Roman" w:cs="Times New Roman"/>
          <w:sz w:val="24"/>
          <w:szCs w:val="24"/>
          <w:lang w:val="en-US"/>
        </w:rPr>
        <w:t>fine</w:t>
      </w:r>
      <w:r w:rsidR="002A3C44" w:rsidRPr="008210C1">
        <w:rPr>
          <w:rFonts w:ascii="Times New Roman" w:hAnsi="Times New Roman" w:cs="Times New Roman"/>
          <w:sz w:val="24"/>
          <w:szCs w:val="24"/>
          <w:lang w:val="en-US"/>
        </w:rPr>
        <w:t xml:space="preserve">. </w:t>
      </w:r>
      <w:r w:rsidR="002931EB" w:rsidRPr="008210C1">
        <w:rPr>
          <w:rFonts w:ascii="Times New Roman" w:hAnsi="Times New Roman" w:cs="Times New Roman"/>
          <w:sz w:val="24"/>
          <w:szCs w:val="24"/>
          <w:lang w:val="en-US"/>
        </w:rPr>
        <w:t>Given that</w:t>
      </w:r>
      <w:r w:rsidR="002A3C44" w:rsidRPr="008210C1">
        <w:rPr>
          <w:rFonts w:ascii="Times New Roman" w:hAnsi="Times New Roman" w:cs="Times New Roman"/>
          <w:sz w:val="24"/>
          <w:szCs w:val="24"/>
          <w:lang w:val="en-US"/>
        </w:rPr>
        <w:t xml:space="preserve">, the </w:t>
      </w:r>
      <w:r w:rsidR="00CB1AD3" w:rsidRPr="008210C1">
        <w:rPr>
          <w:rFonts w:ascii="Times New Roman" w:hAnsi="Times New Roman" w:cs="Times New Roman"/>
          <w:sz w:val="24"/>
          <w:szCs w:val="24"/>
          <w:lang w:val="en-US"/>
        </w:rPr>
        <w:t>MP</w:t>
      </w:r>
      <w:r w:rsidR="002A3C44" w:rsidRPr="008210C1">
        <w:rPr>
          <w:rFonts w:ascii="Times New Roman" w:hAnsi="Times New Roman" w:cs="Times New Roman"/>
          <w:sz w:val="24"/>
          <w:szCs w:val="24"/>
          <w:lang w:val="en-US"/>
        </w:rPr>
        <w:t xml:space="preserve"> was erratic.</w:t>
      </w:r>
      <w:r w:rsidR="001C3AFD" w:rsidRPr="008210C1">
        <w:rPr>
          <w:rFonts w:ascii="Times New Roman" w:hAnsi="Times New Roman" w:cs="Times New Roman"/>
          <w:sz w:val="24"/>
          <w:szCs w:val="24"/>
          <w:lang w:val="en-US"/>
        </w:rPr>
        <w:t xml:space="preserve"> </w:t>
      </w:r>
    </w:p>
    <w:p w:rsidR="002A3C44" w:rsidRPr="008210C1" w:rsidRDefault="002A3C44" w:rsidP="008210C1">
      <w:pPr>
        <w:spacing w:after="0" w:line="240" w:lineRule="auto"/>
        <w:ind w:firstLine="70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After seeing for a while that the scenario was not as fine as communicated, conventions about Brazil </w:t>
      </w:r>
      <w:r w:rsidR="00F3235F" w:rsidRPr="008210C1">
        <w:rPr>
          <w:rFonts w:ascii="Times New Roman" w:hAnsi="Times New Roman" w:cs="Times New Roman"/>
          <w:sz w:val="24"/>
          <w:szCs w:val="24"/>
          <w:lang w:val="en-US"/>
        </w:rPr>
        <w:t xml:space="preserve">pointed </w:t>
      </w:r>
      <w:r w:rsidRPr="008210C1">
        <w:rPr>
          <w:rFonts w:ascii="Times New Roman" w:hAnsi="Times New Roman" w:cs="Times New Roman"/>
          <w:sz w:val="24"/>
          <w:szCs w:val="24"/>
          <w:lang w:val="en-US"/>
        </w:rPr>
        <w:t>to a hazy future.</w:t>
      </w:r>
      <w:r w:rsidR="002931EB"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Th</w:t>
      </w:r>
      <w:r w:rsidR="00F3235F" w:rsidRPr="008210C1">
        <w:rPr>
          <w:rFonts w:ascii="Times New Roman" w:hAnsi="Times New Roman" w:cs="Times New Roman"/>
          <w:sz w:val="24"/>
          <w:szCs w:val="24"/>
          <w:lang w:val="en-US"/>
        </w:rPr>
        <w:t>is</w:t>
      </w:r>
      <w:r w:rsidRPr="008210C1">
        <w:rPr>
          <w:rFonts w:ascii="Times New Roman" w:hAnsi="Times New Roman" w:cs="Times New Roman"/>
          <w:sz w:val="24"/>
          <w:szCs w:val="24"/>
          <w:lang w:val="en-US"/>
        </w:rPr>
        <w:t xml:space="preserve"> explains why Brazil has taken so long to rebuild positive conventions on </w:t>
      </w:r>
      <w:r w:rsidR="00CB1AD3" w:rsidRPr="008210C1">
        <w:rPr>
          <w:rFonts w:ascii="Times New Roman" w:hAnsi="Times New Roman" w:cs="Times New Roman"/>
          <w:sz w:val="24"/>
          <w:szCs w:val="24"/>
          <w:lang w:val="en-US"/>
        </w:rPr>
        <w:t>MP</w:t>
      </w:r>
      <w:r w:rsidRPr="008210C1">
        <w:rPr>
          <w:rFonts w:ascii="Times New Roman" w:hAnsi="Times New Roman" w:cs="Times New Roman"/>
          <w:sz w:val="24"/>
          <w:szCs w:val="24"/>
          <w:lang w:val="en-US"/>
        </w:rPr>
        <w:t xml:space="preserve"> and on the expected future inflation. As </w:t>
      </w:r>
      <w:r w:rsidR="00F3235F" w:rsidRPr="008210C1">
        <w:rPr>
          <w:rFonts w:ascii="Times New Roman" w:hAnsi="Times New Roman" w:cs="Times New Roman"/>
          <w:sz w:val="24"/>
          <w:szCs w:val="24"/>
          <w:lang w:val="en-US"/>
        </w:rPr>
        <w:t>Figure</w:t>
      </w:r>
      <w:r w:rsidRPr="008210C1">
        <w:rPr>
          <w:rFonts w:ascii="Times New Roman" w:hAnsi="Times New Roman" w:cs="Times New Roman"/>
          <w:sz w:val="24"/>
          <w:szCs w:val="24"/>
          <w:lang w:val="en-US"/>
        </w:rPr>
        <w:t xml:space="preserve"> </w:t>
      </w:r>
      <w:r w:rsidR="002931EB" w:rsidRPr="008210C1">
        <w:rPr>
          <w:rFonts w:ascii="Times New Roman" w:hAnsi="Times New Roman" w:cs="Times New Roman"/>
          <w:sz w:val="24"/>
          <w:szCs w:val="24"/>
          <w:lang w:val="en-US"/>
        </w:rPr>
        <w:t>2</w:t>
      </w:r>
      <w:r w:rsidRPr="008210C1">
        <w:rPr>
          <w:rFonts w:ascii="Times New Roman" w:hAnsi="Times New Roman" w:cs="Times New Roman"/>
          <w:sz w:val="24"/>
          <w:szCs w:val="24"/>
          <w:lang w:val="en-US"/>
        </w:rPr>
        <w:t xml:space="preserve"> show</w:t>
      </w:r>
      <w:r w:rsidR="00F3235F" w:rsidRPr="008210C1">
        <w:rPr>
          <w:rFonts w:ascii="Times New Roman" w:hAnsi="Times New Roman" w:cs="Times New Roman"/>
          <w:sz w:val="24"/>
          <w:szCs w:val="24"/>
          <w:lang w:val="en-US"/>
        </w:rPr>
        <w:t>s</w:t>
      </w:r>
      <w:r w:rsidRPr="008210C1">
        <w:rPr>
          <w:rFonts w:ascii="Times New Roman" w:hAnsi="Times New Roman" w:cs="Times New Roman"/>
          <w:sz w:val="24"/>
          <w:szCs w:val="24"/>
          <w:lang w:val="en-US"/>
        </w:rPr>
        <w:t>, this happened by mid-2016 and just after that convention</w:t>
      </w:r>
      <w:r w:rsidR="00F3235F" w:rsidRPr="008210C1">
        <w:rPr>
          <w:rFonts w:ascii="Times New Roman" w:hAnsi="Times New Roman" w:cs="Times New Roman"/>
          <w:sz w:val="24"/>
          <w:szCs w:val="24"/>
          <w:lang w:val="en-US"/>
        </w:rPr>
        <w:t xml:space="preserve"> that </w:t>
      </w:r>
      <w:r w:rsidRPr="008210C1">
        <w:rPr>
          <w:rFonts w:ascii="Times New Roman" w:hAnsi="Times New Roman" w:cs="Times New Roman"/>
          <w:sz w:val="24"/>
          <w:szCs w:val="24"/>
          <w:lang w:val="en-US"/>
        </w:rPr>
        <w:t xml:space="preserve">enabled the </w:t>
      </w:r>
      <w:r w:rsidR="002931EB" w:rsidRPr="008210C1">
        <w:rPr>
          <w:rFonts w:ascii="Times New Roman" w:hAnsi="Times New Roman" w:cs="Times New Roman"/>
          <w:sz w:val="24"/>
          <w:szCs w:val="24"/>
          <w:lang w:val="en-US"/>
        </w:rPr>
        <w:t>B</w:t>
      </w:r>
      <w:r w:rsidRPr="008210C1">
        <w:rPr>
          <w:rFonts w:ascii="Times New Roman" w:hAnsi="Times New Roman" w:cs="Times New Roman"/>
          <w:sz w:val="24"/>
          <w:szCs w:val="24"/>
          <w:lang w:val="en-US"/>
        </w:rPr>
        <w:t xml:space="preserve">CB to </w:t>
      </w:r>
      <w:r w:rsidR="00F3235F" w:rsidRPr="008210C1">
        <w:rPr>
          <w:rFonts w:ascii="Times New Roman" w:hAnsi="Times New Roman" w:cs="Times New Roman"/>
          <w:sz w:val="24"/>
          <w:szCs w:val="24"/>
          <w:lang w:val="en-US"/>
        </w:rPr>
        <w:t>reduce the</w:t>
      </w:r>
      <w:r w:rsidRPr="008210C1">
        <w:rPr>
          <w:rFonts w:ascii="Times New Roman" w:hAnsi="Times New Roman" w:cs="Times New Roman"/>
          <w:sz w:val="24"/>
          <w:szCs w:val="24"/>
          <w:lang w:val="en-US"/>
        </w:rPr>
        <w:t xml:space="preserve"> </w:t>
      </w:r>
      <w:proofErr w:type="spellStart"/>
      <w:r w:rsidR="002931EB" w:rsidRPr="008210C1">
        <w:rPr>
          <w:rFonts w:ascii="Times New Roman" w:hAnsi="Times New Roman" w:cs="Times New Roman"/>
          <w:sz w:val="24"/>
          <w:szCs w:val="24"/>
          <w:lang w:val="en-US"/>
        </w:rPr>
        <w:t>Selic</w:t>
      </w:r>
      <w:proofErr w:type="spellEnd"/>
      <w:r w:rsidR="002931EB" w:rsidRPr="008210C1">
        <w:rPr>
          <w:rFonts w:ascii="Times New Roman" w:hAnsi="Times New Roman" w:cs="Times New Roman"/>
          <w:sz w:val="24"/>
          <w:szCs w:val="24"/>
          <w:lang w:val="en-US"/>
        </w:rPr>
        <w:t>, which</w:t>
      </w:r>
      <w:r w:rsidRPr="008210C1">
        <w:rPr>
          <w:rFonts w:ascii="Times New Roman" w:hAnsi="Times New Roman" w:cs="Times New Roman"/>
          <w:sz w:val="24"/>
          <w:szCs w:val="24"/>
          <w:lang w:val="en-US"/>
        </w:rPr>
        <w:t xml:space="preserve"> is still high,</w:t>
      </w:r>
      <w:r w:rsidR="001C3AFD"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paying the price </w:t>
      </w:r>
      <w:r w:rsidR="002931EB" w:rsidRPr="008210C1">
        <w:rPr>
          <w:rFonts w:ascii="Times New Roman" w:hAnsi="Times New Roman" w:cs="Times New Roman"/>
          <w:sz w:val="24"/>
          <w:szCs w:val="24"/>
          <w:lang w:val="en-US"/>
        </w:rPr>
        <w:t>of leading</w:t>
      </w:r>
      <w:r w:rsidRPr="008210C1">
        <w:rPr>
          <w:rFonts w:ascii="Times New Roman" w:hAnsi="Times New Roman" w:cs="Times New Roman"/>
          <w:sz w:val="24"/>
          <w:szCs w:val="24"/>
          <w:lang w:val="en-US"/>
        </w:rPr>
        <w:t xml:space="preserve"> conventions. The fiscal consolidation programs </w:t>
      </w:r>
      <w:r w:rsidR="00484F2B" w:rsidRPr="008210C1">
        <w:rPr>
          <w:rFonts w:ascii="Times New Roman" w:hAnsi="Times New Roman" w:cs="Times New Roman"/>
          <w:sz w:val="24"/>
          <w:szCs w:val="24"/>
          <w:lang w:val="en-US"/>
        </w:rPr>
        <w:t>plastered</w:t>
      </w:r>
      <w:r w:rsidRPr="008210C1">
        <w:rPr>
          <w:rFonts w:ascii="Times New Roman" w:hAnsi="Times New Roman" w:cs="Times New Roman"/>
          <w:sz w:val="24"/>
          <w:szCs w:val="24"/>
          <w:lang w:val="en-US"/>
        </w:rPr>
        <w:t xml:space="preserve"> </w:t>
      </w:r>
      <w:r w:rsidR="00484F2B" w:rsidRPr="008210C1">
        <w:rPr>
          <w:rFonts w:ascii="Times New Roman" w:hAnsi="Times New Roman" w:cs="Times New Roman"/>
          <w:sz w:val="24"/>
          <w:szCs w:val="24"/>
          <w:lang w:val="en-US"/>
        </w:rPr>
        <w:t>public</w:t>
      </w:r>
      <w:r w:rsidRPr="008210C1">
        <w:rPr>
          <w:rFonts w:ascii="Times New Roman" w:hAnsi="Times New Roman" w:cs="Times New Roman"/>
          <w:sz w:val="24"/>
          <w:szCs w:val="24"/>
          <w:lang w:val="en-US"/>
        </w:rPr>
        <w:t xml:space="preserve"> demand drivers, making Brazilian dive </w:t>
      </w:r>
      <w:r w:rsidR="00484F2B" w:rsidRPr="008210C1">
        <w:rPr>
          <w:rFonts w:ascii="Times New Roman" w:hAnsi="Times New Roman" w:cs="Times New Roman"/>
          <w:sz w:val="24"/>
          <w:szCs w:val="24"/>
          <w:lang w:val="en-US"/>
        </w:rPr>
        <w:t xml:space="preserve">faster </w:t>
      </w:r>
      <w:r w:rsidRPr="008210C1">
        <w:rPr>
          <w:rFonts w:ascii="Times New Roman" w:hAnsi="Times New Roman" w:cs="Times New Roman"/>
          <w:sz w:val="24"/>
          <w:szCs w:val="24"/>
          <w:lang w:val="en-US"/>
        </w:rPr>
        <w:t>into</w:t>
      </w:r>
      <w:r w:rsidR="00484F2B" w:rsidRPr="008210C1">
        <w:rPr>
          <w:rFonts w:ascii="Times New Roman" w:hAnsi="Times New Roman" w:cs="Times New Roman"/>
          <w:sz w:val="24"/>
          <w:szCs w:val="24"/>
          <w:lang w:val="en-US"/>
        </w:rPr>
        <w:t xml:space="preserve"> the</w:t>
      </w:r>
      <w:r w:rsidRPr="008210C1">
        <w:rPr>
          <w:rFonts w:ascii="Times New Roman" w:hAnsi="Times New Roman" w:cs="Times New Roman"/>
          <w:sz w:val="24"/>
          <w:szCs w:val="24"/>
          <w:lang w:val="en-US"/>
        </w:rPr>
        <w:t xml:space="preserve"> recession. At the monetary management sphere, </w:t>
      </w:r>
      <w:proofErr w:type="spellStart"/>
      <w:r w:rsidR="00484F2B" w:rsidRPr="008210C1">
        <w:rPr>
          <w:rFonts w:ascii="Times New Roman" w:hAnsi="Times New Roman" w:cs="Times New Roman"/>
          <w:sz w:val="24"/>
          <w:szCs w:val="24"/>
          <w:lang w:val="en-US"/>
        </w:rPr>
        <w:t>Selic’s</w:t>
      </w:r>
      <w:proofErr w:type="spellEnd"/>
      <w:r w:rsidR="00484F2B" w:rsidRPr="008210C1">
        <w:rPr>
          <w:rFonts w:ascii="Times New Roman" w:hAnsi="Times New Roman" w:cs="Times New Roman"/>
          <w:sz w:val="24"/>
          <w:szCs w:val="24"/>
          <w:lang w:val="en-US"/>
        </w:rPr>
        <w:t xml:space="preserve"> level</w:t>
      </w:r>
      <w:r w:rsidRPr="008210C1">
        <w:rPr>
          <w:rFonts w:ascii="Times New Roman" w:hAnsi="Times New Roman" w:cs="Times New Roman"/>
          <w:sz w:val="24"/>
          <w:szCs w:val="24"/>
          <w:lang w:val="en-US"/>
        </w:rPr>
        <w:t xml:space="preserve"> worked as if the diving air tube was filled with rocks. </w:t>
      </w:r>
      <w:r w:rsidR="00484F2B" w:rsidRPr="008210C1">
        <w:rPr>
          <w:rFonts w:ascii="Times New Roman" w:hAnsi="Times New Roman" w:cs="Times New Roman"/>
          <w:sz w:val="24"/>
          <w:szCs w:val="24"/>
          <w:lang w:val="en-US"/>
        </w:rPr>
        <w:t>Investment</w:t>
      </w:r>
      <w:r w:rsidRPr="008210C1">
        <w:rPr>
          <w:rFonts w:ascii="Times New Roman" w:hAnsi="Times New Roman" w:cs="Times New Roman"/>
          <w:sz w:val="24"/>
          <w:szCs w:val="24"/>
          <w:lang w:val="en-US"/>
        </w:rPr>
        <w:t xml:space="preserve">, in turn, </w:t>
      </w:r>
      <w:r w:rsidR="00F3235F" w:rsidRPr="008210C1">
        <w:rPr>
          <w:rFonts w:ascii="Times New Roman" w:hAnsi="Times New Roman" w:cs="Times New Roman"/>
          <w:sz w:val="24"/>
          <w:szCs w:val="24"/>
          <w:lang w:val="en-US"/>
        </w:rPr>
        <w:t>was reduced</w:t>
      </w:r>
      <w:r w:rsidRPr="008210C1">
        <w:rPr>
          <w:rFonts w:ascii="Times New Roman" w:hAnsi="Times New Roman" w:cs="Times New Roman"/>
          <w:sz w:val="24"/>
          <w:szCs w:val="24"/>
          <w:lang w:val="en-US"/>
        </w:rPr>
        <w:t>.</w:t>
      </w:r>
    </w:p>
    <w:p w:rsidR="001C3AFD" w:rsidRPr="008210C1" w:rsidRDefault="001C3AFD" w:rsidP="008210C1">
      <w:pPr>
        <w:spacing w:after="0" w:line="240" w:lineRule="auto"/>
        <w:ind w:firstLine="708"/>
        <w:jc w:val="both"/>
        <w:rPr>
          <w:rFonts w:ascii="Times New Roman" w:hAnsi="Times New Roman" w:cs="Times New Roman"/>
          <w:sz w:val="24"/>
          <w:szCs w:val="24"/>
          <w:lang w:val="en-US"/>
        </w:rPr>
      </w:pPr>
    </w:p>
    <w:p w:rsidR="003A6AF1" w:rsidRPr="008210C1" w:rsidRDefault="003A6AF1" w:rsidP="008210C1">
      <w:pPr>
        <w:spacing w:after="0" w:line="240" w:lineRule="auto"/>
        <w:jc w:val="both"/>
        <w:rPr>
          <w:rFonts w:ascii="Times New Roman" w:hAnsi="Times New Roman" w:cs="Times New Roman"/>
          <w:b/>
          <w:sz w:val="24"/>
          <w:szCs w:val="24"/>
          <w:lang w:val="en-US"/>
        </w:rPr>
      </w:pPr>
      <w:r w:rsidRPr="008210C1">
        <w:rPr>
          <w:rFonts w:ascii="Times New Roman" w:hAnsi="Times New Roman" w:cs="Times New Roman"/>
          <w:b/>
          <w:sz w:val="24"/>
          <w:szCs w:val="24"/>
          <w:lang w:val="en-US"/>
        </w:rPr>
        <w:t xml:space="preserve">4.4. Further Issues: ‘Lava </w:t>
      </w:r>
      <w:proofErr w:type="spellStart"/>
      <w:r w:rsidRPr="008210C1">
        <w:rPr>
          <w:rFonts w:ascii="Times New Roman" w:hAnsi="Times New Roman" w:cs="Times New Roman"/>
          <w:b/>
          <w:sz w:val="24"/>
          <w:szCs w:val="24"/>
          <w:lang w:val="en-US"/>
        </w:rPr>
        <w:t>Jato</w:t>
      </w:r>
      <w:proofErr w:type="spellEnd"/>
      <w:r w:rsidRPr="008210C1">
        <w:rPr>
          <w:rFonts w:ascii="Times New Roman" w:hAnsi="Times New Roman" w:cs="Times New Roman"/>
          <w:b/>
          <w:sz w:val="24"/>
          <w:szCs w:val="24"/>
          <w:lang w:val="en-US"/>
        </w:rPr>
        <w:t>’ Lawsuit and the political crisis</w:t>
      </w:r>
    </w:p>
    <w:p w:rsidR="003A6AF1" w:rsidRPr="008210C1" w:rsidRDefault="003A6AF1"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In addition to the contradictions</w:t>
      </w:r>
      <w:r w:rsidR="00484F2B" w:rsidRPr="008210C1">
        <w:rPr>
          <w:rFonts w:ascii="Times New Roman" w:hAnsi="Times New Roman" w:cs="Times New Roman"/>
          <w:sz w:val="24"/>
          <w:szCs w:val="24"/>
          <w:lang w:val="en-US"/>
        </w:rPr>
        <w:t xml:space="preserve"> within</w:t>
      </w:r>
      <w:r w:rsidRPr="008210C1">
        <w:rPr>
          <w:rFonts w:ascii="Times New Roman" w:hAnsi="Times New Roman" w:cs="Times New Roman"/>
          <w:sz w:val="24"/>
          <w:szCs w:val="24"/>
          <w:lang w:val="en-US"/>
        </w:rPr>
        <w:t xml:space="preserve"> the macroeconomic policies</w:t>
      </w:r>
      <w:r w:rsidR="00484F2B"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and between them and the institutional reforms, there were two further </w:t>
      </w:r>
      <w:r w:rsidR="00484F2B" w:rsidRPr="008210C1">
        <w:rPr>
          <w:rFonts w:ascii="Times New Roman" w:hAnsi="Times New Roman" w:cs="Times New Roman"/>
          <w:sz w:val="24"/>
          <w:szCs w:val="24"/>
          <w:lang w:val="en-US"/>
        </w:rPr>
        <w:t xml:space="preserve">non-economic problems </w:t>
      </w:r>
      <w:r w:rsidRPr="008210C1">
        <w:rPr>
          <w:rFonts w:ascii="Times New Roman" w:hAnsi="Times New Roman" w:cs="Times New Roman"/>
          <w:sz w:val="24"/>
          <w:szCs w:val="24"/>
          <w:lang w:val="en-US"/>
        </w:rPr>
        <w:t>reinforc</w:t>
      </w:r>
      <w:r w:rsidR="00484F2B" w:rsidRPr="008210C1">
        <w:rPr>
          <w:rFonts w:ascii="Times New Roman" w:hAnsi="Times New Roman" w:cs="Times New Roman"/>
          <w:sz w:val="24"/>
          <w:szCs w:val="24"/>
          <w:lang w:val="en-US"/>
        </w:rPr>
        <w:t>ing</w:t>
      </w:r>
      <w:r w:rsidRPr="008210C1">
        <w:rPr>
          <w:rFonts w:ascii="Times New Roman" w:hAnsi="Times New Roman" w:cs="Times New Roman"/>
          <w:sz w:val="24"/>
          <w:szCs w:val="24"/>
          <w:lang w:val="en-US"/>
        </w:rPr>
        <w:t xml:space="preserve"> the </w:t>
      </w:r>
      <w:r w:rsidR="00484F2B" w:rsidRPr="008210C1">
        <w:rPr>
          <w:rFonts w:ascii="Times New Roman" w:hAnsi="Times New Roman" w:cs="Times New Roman"/>
          <w:sz w:val="24"/>
          <w:szCs w:val="24"/>
          <w:lang w:val="en-US"/>
        </w:rPr>
        <w:t xml:space="preserve">Brazilian </w:t>
      </w:r>
      <w:r w:rsidRPr="008210C1">
        <w:rPr>
          <w:rFonts w:ascii="Times New Roman" w:hAnsi="Times New Roman" w:cs="Times New Roman"/>
          <w:sz w:val="24"/>
          <w:szCs w:val="24"/>
          <w:lang w:val="en-US"/>
        </w:rPr>
        <w:t xml:space="preserve">economic </w:t>
      </w:r>
      <w:r w:rsidR="0063370F" w:rsidRPr="008210C1">
        <w:rPr>
          <w:rFonts w:ascii="Times New Roman" w:hAnsi="Times New Roman" w:cs="Times New Roman"/>
          <w:sz w:val="24"/>
          <w:szCs w:val="24"/>
          <w:lang w:val="en-US"/>
        </w:rPr>
        <w:t>problems</w:t>
      </w:r>
      <w:r w:rsidRPr="008210C1">
        <w:rPr>
          <w:rFonts w:ascii="Times New Roman" w:hAnsi="Times New Roman" w:cs="Times New Roman"/>
          <w:sz w:val="24"/>
          <w:szCs w:val="24"/>
          <w:lang w:val="en-US"/>
        </w:rPr>
        <w:t>.</w:t>
      </w:r>
      <w:r w:rsidR="00484F2B" w:rsidRPr="008210C1">
        <w:rPr>
          <w:rFonts w:ascii="Times New Roman" w:hAnsi="Times New Roman" w:cs="Times New Roman"/>
          <w:sz w:val="24"/>
          <w:szCs w:val="24"/>
          <w:lang w:val="en-US"/>
        </w:rPr>
        <w:t xml:space="preserve"> The -3</w:t>
      </w:r>
      <w:r w:rsidR="00007164" w:rsidRPr="008210C1">
        <w:rPr>
          <w:rFonts w:ascii="Times New Roman" w:hAnsi="Times New Roman" w:cs="Times New Roman"/>
          <w:sz w:val="24"/>
          <w:szCs w:val="24"/>
          <w:lang w:val="en-US"/>
        </w:rPr>
        <w:t>.</w:t>
      </w:r>
      <w:r w:rsidR="00484F2B" w:rsidRPr="008210C1">
        <w:rPr>
          <w:rFonts w:ascii="Times New Roman" w:hAnsi="Times New Roman" w:cs="Times New Roman"/>
          <w:sz w:val="24"/>
          <w:szCs w:val="24"/>
          <w:lang w:val="en-US"/>
        </w:rPr>
        <w:t xml:space="preserve">8% growth rate </w:t>
      </w:r>
      <w:r w:rsidR="003C6C26" w:rsidRPr="008210C1">
        <w:rPr>
          <w:rFonts w:ascii="Times New Roman" w:hAnsi="Times New Roman" w:cs="Times New Roman"/>
          <w:sz w:val="24"/>
          <w:szCs w:val="24"/>
          <w:lang w:val="en-US"/>
        </w:rPr>
        <w:t>in 2015</w:t>
      </w:r>
      <w:r w:rsidR="00EA0E6B" w:rsidRPr="008210C1">
        <w:rPr>
          <w:rFonts w:ascii="Times New Roman" w:hAnsi="Times New Roman" w:cs="Times New Roman"/>
          <w:sz w:val="24"/>
          <w:szCs w:val="24"/>
          <w:lang w:val="en-US"/>
        </w:rPr>
        <w:t xml:space="preserve"> g</w:t>
      </w:r>
      <w:r w:rsidR="003C6C26" w:rsidRPr="008210C1">
        <w:rPr>
          <w:rFonts w:ascii="Times New Roman" w:hAnsi="Times New Roman" w:cs="Times New Roman"/>
          <w:sz w:val="24"/>
          <w:szCs w:val="24"/>
          <w:lang w:val="en-US"/>
        </w:rPr>
        <w:t>ave room for</w:t>
      </w:r>
      <w:r w:rsidR="00EA0E6B" w:rsidRPr="008210C1">
        <w:rPr>
          <w:rFonts w:ascii="Times New Roman" w:hAnsi="Times New Roman" w:cs="Times New Roman"/>
          <w:sz w:val="24"/>
          <w:szCs w:val="24"/>
          <w:lang w:val="en-US"/>
        </w:rPr>
        <w:t xml:space="preserve"> a</w:t>
      </w:r>
      <w:r w:rsidRPr="008210C1">
        <w:rPr>
          <w:rFonts w:ascii="Times New Roman" w:hAnsi="Times New Roman" w:cs="Times New Roman"/>
          <w:sz w:val="24"/>
          <w:szCs w:val="24"/>
          <w:lang w:val="en-US"/>
        </w:rPr>
        <w:t xml:space="preserve"> political crisis and the impeachment of Rousseff, based on a doubtful crime against fiscal rules. Even after </w:t>
      </w:r>
      <w:r w:rsidR="00E83F99" w:rsidRPr="008210C1">
        <w:rPr>
          <w:rFonts w:ascii="Times New Roman" w:hAnsi="Times New Roman" w:cs="Times New Roman"/>
          <w:sz w:val="24"/>
          <w:szCs w:val="24"/>
          <w:lang w:val="en-US"/>
        </w:rPr>
        <w:t xml:space="preserve">her fall, with President </w:t>
      </w:r>
      <w:proofErr w:type="spellStart"/>
      <w:r w:rsidRPr="008210C1">
        <w:rPr>
          <w:rFonts w:ascii="Times New Roman" w:hAnsi="Times New Roman" w:cs="Times New Roman"/>
          <w:sz w:val="24"/>
          <w:szCs w:val="24"/>
          <w:lang w:val="en-US"/>
        </w:rPr>
        <w:t>Temer</w:t>
      </w:r>
      <w:proofErr w:type="spellEnd"/>
      <w:r w:rsidRPr="008210C1">
        <w:rPr>
          <w:rFonts w:ascii="Times New Roman" w:hAnsi="Times New Roman" w:cs="Times New Roman"/>
          <w:sz w:val="24"/>
          <w:szCs w:val="24"/>
          <w:lang w:val="en-US"/>
        </w:rPr>
        <w:t xml:space="preserve"> in charge, the political crisis </w:t>
      </w:r>
      <w:r w:rsidR="00A372E4" w:rsidRPr="008210C1">
        <w:rPr>
          <w:rFonts w:ascii="Times New Roman" w:hAnsi="Times New Roman" w:cs="Times New Roman"/>
          <w:sz w:val="24"/>
          <w:szCs w:val="24"/>
          <w:lang w:val="en-US"/>
        </w:rPr>
        <w:t xml:space="preserve">is </w:t>
      </w:r>
      <w:r w:rsidRPr="008210C1">
        <w:rPr>
          <w:rFonts w:ascii="Times New Roman" w:hAnsi="Times New Roman" w:cs="Times New Roman"/>
          <w:sz w:val="24"/>
          <w:szCs w:val="24"/>
          <w:lang w:val="en-US"/>
        </w:rPr>
        <w:t xml:space="preserve">still </w:t>
      </w:r>
      <w:r w:rsidR="003C6C26" w:rsidRPr="008210C1">
        <w:rPr>
          <w:rFonts w:ascii="Times New Roman" w:hAnsi="Times New Roman" w:cs="Times New Roman"/>
          <w:sz w:val="24"/>
          <w:szCs w:val="24"/>
          <w:lang w:val="en-US"/>
        </w:rPr>
        <w:t>enduring</w:t>
      </w:r>
      <w:r w:rsidRPr="008210C1">
        <w:rPr>
          <w:rFonts w:ascii="Times New Roman" w:hAnsi="Times New Roman" w:cs="Times New Roman"/>
          <w:sz w:val="24"/>
          <w:szCs w:val="24"/>
          <w:lang w:val="en-US"/>
        </w:rPr>
        <w:t xml:space="preserve">. </w:t>
      </w:r>
    </w:p>
    <w:p w:rsidR="003A6AF1" w:rsidRPr="008210C1" w:rsidRDefault="003A6AF1" w:rsidP="008210C1">
      <w:pPr>
        <w:spacing w:after="0" w:line="240" w:lineRule="auto"/>
        <w:ind w:firstLine="70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Moreo</w:t>
      </w:r>
      <w:r w:rsidR="00F77F90" w:rsidRPr="008210C1">
        <w:rPr>
          <w:rFonts w:ascii="Times New Roman" w:hAnsi="Times New Roman" w:cs="Times New Roman"/>
          <w:sz w:val="24"/>
          <w:szCs w:val="24"/>
          <w:lang w:val="en-US"/>
        </w:rPr>
        <w:t xml:space="preserve">ver, the so-called ‘Lava </w:t>
      </w:r>
      <w:proofErr w:type="spellStart"/>
      <w:r w:rsidR="00F77F90" w:rsidRPr="008210C1">
        <w:rPr>
          <w:rFonts w:ascii="Times New Roman" w:hAnsi="Times New Roman" w:cs="Times New Roman"/>
          <w:sz w:val="24"/>
          <w:szCs w:val="24"/>
          <w:lang w:val="en-US"/>
        </w:rPr>
        <w:t>Jato</w:t>
      </w:r>
      <w:proofErr w:type="spellEnd"/>
      <w:r w:rsidR="00F77F90"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lawsuit has been the biggest judicial operation against corruption and money laundering crimes in Brazil</w:t>
      </w:r>
      <w:r w:rsidR="009A3236" w:rsidRPr="008210C1">
        <w:rPr>
          <w:rFonts w:ascii="Times New Roman" w:hAnsi="Times New Roman" w:cs="Times New Roman"/>
          <w:sz w:val="24"/>
          <w:szCs w:val="24"/>
          <w:lang w:val="en-US"/>
        </w:rPr>
        <w:t xml:space="preserve"> since when it began</w:t>
      </w:r>
      <w:r w:rsidRPr="008210C1">
        <w:rPr>
          <w:rFonts w:ascii="Times New Roman" w:hAnsi="Times New Roman" w:cs="Times New Roman"/>
          <w:sz w:val="24"/>
          <w:szCs w:val="24"/>
          <w:lang w:val="en-US"/>
        </w:rPr>
        <w:t xml:space="preserve"> in 2014</w:t>
      </w:r>
      <w:r w:rsidR="009A3236" w:rsidRPr="008210C1">
        <w:rPr>
          <w:rFonts w:ascii="Times New Roman" w:hAnsi="Times New Roman" w:cs="Times New Roman"/>
          <w:sz w:val="24"/>
          <w:szCs w:val="24"/>
          <w:lang w:val="en-US"/>
        </w:rPr>
        <w:t>. It</w:t>
      </w:r>
      <w:r w:rsidRPr="008210C1">
        <w:rPr>
          <w:rFonts w:ascii="Times New Roman" w:hAnsi="Times New Roman" w:cs="Times New Roman"/>
          <w:sz w:val="24"/>
          <w:szCs w:val="24"/>
          <w:lang w:val="en-US"/>
        </w:rPr>
        <w:t xml:space="preserve"> investigates criminal relation</w:t>
      </w:r>
      <w:r w:rsidR="009A3236" w:rsidRPr="008210C1">
        <w:rPr>
          <w:rFonts w:ascii="Times New Roman" w:hAnsi="Times New Roman" w:cs="Times New Roman"/>
          <w:sz w:val="24"/>
          <w:szCs w:val="24"/>
          <w:lang w:val="en-US"/>
        </w:rPr>
        <w:t>s</w:t>
      </w:r>
      <w:r w:rsidRPr="008210C1">
        <w:rPr>
          <w:rFonts w:ascii="Times New Roman" w:hAnsi="Times New Roman" w:cs="Times New Roman"/>
          <w:sz w:val="24"/>
          <w:szCs w:val="24"/>
          <w:lang w:val="en-US"/>
        </w:rPr>
        <w:t xml:space="preserve"> between political parties, politicians and big </w:t>
      </w:r>
      <w:r w:rsidR="009A3236" w:rsidRPr="008210C1">
        <w:rPr>
          <w:rFonts w:ascii="Times New Roman" w:hAnsi="Times New Roman" w:cs="Times New Roman"/>
          <w:sz w:val="24"/>
          <w:szCs w:val="24"/>
          <w:lang w:val="en-US"/>
        </w:rPr>
        <w:t>co</w:t>
      </w:r>
      <w:r w:rsidR="00FD048C" w:rsidRPr="008210C1">
        <w:rPr>
          <w:rFonts w:ascii="Times New Roman" w:hAnsi="Times New Roman" w:cs="Times New Roman"/>
          <w:sz w:val="24"/>
          <w:szCs w:val="24"/>
          <w:lang w:val="en-US"/>
        </w:rPr>
        <w:t>rporations</w:t>
      </w:r>
      <w:r w:rsidR="00F77F90" w:rsidRPr="008210C1">
        <w:rPr>
          <w:rFonts w:ascii="Times New Roman" w:hAnsi="Times New Roman" w:cs="Times New Roman"/>
          <w:sz w:val="24"/>
          <w:szCs w:val="24"/>
          <w:lang w:val="en-US"/>
        </w:rPr>
        <w:t>, and</w:t>
      </w:r>
      <w:r w:rsidRPr="008210C1">
        <w:rPr>
          <w:rFonts w:ascii="Times New Roman" w:hAnsi="Times New Roman" w:cs="Times New Roman"/>
          <w:sz w:val="24"/>
          <w:szCs w:val="24"/>
          <w:lang w:val="en-US"/>
        </w:rPr>
        <w:t xml:space="preserve"> has fueled the </w:t>
      </w:r>
      <w:r w:rsidR="00F77F90" w:rsidRPr="008210C1">
        <w:rPr>
          <w:rFonts w:ascii="Times New Roman" w:hAnsi="Times New Roman" w:cs="Times New Roman"/>
          <w:sz w:val="24"/>
          <w:szCs w:val="24"/>
          <w:lang w:val="en-US"/>
        </w:rPr>
        <w:t xml:space="preserve">mentioned political crisis. </w:t>
      </w:r>
      <w:r w:rsidRPr="008210C1">
        <w:rPr>
          <w:rFonts w:ascii="Times New Roman" w:hAnsi="Times New Roman" w:cs="Times New Roman"/>
          <w:sz w:val="24"/>
          <w:szCs w:val="24"/>
          <w:lang w:val="en-US"/>
        </w:rPr>
        <w:t xml:space="preserve">Furthermore, </w:t>
      </w:r>
      <w:r w:rsidR="00B41898" w:rsidRPr="008210C1">
        <w:rPr>
          <w:rFonts w:ascii="Times New Roman" w:hAnsi="Times New Roman" w:cs="Times New Roman"/>
          <w:sz w:val="24"/>
          <w:szCs w:val="24"/>
          <w:lang w:val="en-US"/>
        </w:rPr>
        <w:t>the</w:t>
      </w:r>
      <w:r w:rsidRPr="008210C1">
        <w:rPr>
          <w:rFonts w:ascii="Times New Roman" w:hAnsi="Times New Roman" w:cs="Times New Roman"/>
          <w:sz w:val="24"/>
          <w:szCs w:val="24"/>
          <w:lang w:val="en-US"/>
        </w:rPr>
        <w:t xml:space="preserve"> lawsuit investigates giant companies, such as Petrobras and </w:t>
      </w:r>
      <w:proofErr w:type="spellStart"/>
      <w:r w:rsidRPr="008210C1">
        <w:rPr>
          <w:rFonts w:ascii="Times New Roman" w:hAnsi="Times New Roman" w:cs="Times New Roman"/>
          <w:sz w:val="24"/>
          <w:szCs w:val="24"/>
          <w:lang w:val="en-US"/>
        </w:rPr>
        <w:t>Oderbretch</w:t>
      </w:r>
      <w:proofErr w:type="spellEnd"/>
      <w:r w:rsidRPr="008210C1">
        <w:rPr>
          <w:rFonts w:ascii="Times New Roman" w:hAnsi="Times New Roman" w:cs="Times New Roman"/>
          <w:sz w:val="24"/>
          <w:szCs w:val="24"/>
          <w:lang w:val="en-US"/>
        </w:rPr>
        <w:t xml:space="preserve">, which account for a </w:t>
      </w:r>
      <w:r w:rsidR="00A372E4" w:rsidRPr="008210C1">
        <w:rPr>
          <w:rFonts w:ascii="Times New Roman" w:hAnsi="Times New Roman" w:cs="Times New Roman"/>
          <w:sz w:val="24"/>
          <w:szCs w:val="24"/>
          <w:lang w:val="en-US"/>
        </w:rPr>
        <w:t xml:space="preserve">significant </w:t>
      </w:r>
      <w:r w:rsidRPr="008210C1">
        <w:rPr>
          <w:rFonts w:ascii="Times New Roman" w:hAnsi="Times New Roman" w:cs="Times New Roman"/>
          <w:sz w:val="24"/>
          <w:szCs w:val="24"/>
          <w:lang w:val="en-US"/>
        </w:rPr>
        <w:t xml:space="preserve">part of investment in the country. </w:t>
      </w:r>
    </w:p>
    <w:p w:rsidR="003A6AF1" w:rsidRPr="008210C1" w:rsidRDefault="003A6AF1" w:rsidP="008210C1">
      <w:pPr>
        <w:spacing w:after="0" w:line="240" w:lineRule="auto"/>
        <w:ind w:firstLine="70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These non-economic facts are </w:t>
      </w:r>
      <w:r w:rsidR="00A41232" w:rsidRPr="008210C1">
        <w:rPr>
          <w:rFonts w:ascii="Times New Roman" w:hAnsi="Times New Roman" w:cs="Times New Roman"/>
          <w:sz w:val="24"/>
          <w:szCs w:val="24"/>
          <w:lang w:val="en-US"/>
        </w:rPr>
        <w:t>fomenting</w:t>
      </w:r>
      <w:r w:rsidRPr="008210C1">
        <w:rPr>
          <w:rFonts w:ascii="Times New Roman" w:hAnsi="Times New Roman" w:cs="Times New Roman"/>
          <w:sz w:val="24"/>
          <w:szCs w:val="24"/>
          <w:lang w:val="en-US"/>
        </w:rPr>
        <w:t xml:space="preserve"> conventions of volatility in Brazilian politics as it is uncertain if the current set of politicians </w:t>
      </w:r>
      <w:r w:rsidR="00FD048C" w:rsidRPr="008210C1">
        <w:rPr>
          <w:rFonts w:ascii="Times New Roman" w:hAnsi="Times New Roman" w:cs="Times New Roman"/>
          <w:sz w:val="24"/>
          <w:szCs w:val="24"/>
          <w:lang w:val="en-US"/>
        </w:rPr>
        <w:t>reaches</w:t>
      </w:r>
      <w:r w:rsidRPr="008210C1">
        <w:rPr>
          <w:rFonts w:ascii="Times New Roman" w:hAnsi="Times New Roman" w:cs="Times New Roman"/>
          <w:sz w:val="24"/>
          <w:szCs w:val="24"/>
          <w:lang w:val="en-US"/>
        </w:rPr>
        <w:t xml:space="preserve"> the end of their terms. Consequently, it </w:t>
      </w:r>
      <w:r w:rsidR="00FD048C" w:rsidRPr="008210C1">
        <w:rPr>
          <w:rFonts w:ascii="Times New Roman" w:hAnsi="Times New Roman" w:cs="Times New Roman"/>
          <w:sz w:val="24"/>
          <w:szCs w:val="24"/>
          <w:lang w:val="en-US"/>
        </w:rPr>
        <w:t xml:space="preserve">only </w:t>
      </w:r>
      <w:r w:rsidRPr="008210C1">
        <w:rPr>
          <w:rFonts w:ascii="Times New Roman" w:hAnsi="Times New Roman" w:cs="Times New Roman"/>
          <w:sz w:val="24"/>
          <w:szCs w:val="24"/>
          <w:lang w:val="en-US"/>
        </w:rPr>
        <w:t xml:space="preserve">generates </w:t>
      </w:r>
      <w:r w:rsidR="00FD048C" w:rsidRPr="008210C1">
        <w:rPr>
          <w:rFonts w:ascii="Times New Roman" w:hAnsi="Times New Roman" w:cs="Times New Roman"/>
          <w:sz w:val="24"/>
          <w:szCs w:val="24"/>
          <w:lang w:val="en-US"/>
        </w:rPr>
        <w:t>short</w:t>
      </w:r>
      <w:r w:rsidR="00A372E4" w:rsidRPr="008210C1">
        <w:rPr>
          <w:rFonts w:ascii="Times New Roman" w:hAnsi="Times New Roman" w:cs="Times New Roman"/>
          <w:sz w:val="24"/>
          <w:szCs w:val="24"/>
          <w:lang w:val="en-US"/>
        </w:rPr>
        <w:t>-</w:t>
      </w:r>
      <w:r w:rsidR="00FD048C" w:rsidRPr="008210C1">
        <w:rPr>
          <w:rFonts w:ascii="Times New Roman" w:hAnsi="Times New Roman" w:cs="Times New Roman"/>
          <w:sz w:val="24"/>
          <w:szCs w:val="24"/>
          <w:lang w:val="en-US"/>
        </w:rPr>
        <w:t xml:space="preserve">term </w:t>
      </w:r>
      <w:r w:rsidRPr="008210C1">
        <w:rPr>
          <w:rFonts w:ascii="Times New Roman" w:hAnsi="Times New Roman" w:cs="Times New Roman"/>
          <w:sz w:val="24"/>
          <w:szCs w:val="24"/>
          <w:lang w:val="en-US"/>
        </w:rPr>
        <w:t xml:space="preserve">policies, what </w:t>
      </w:r>
      <w:r w:rsidR="00A372E4" w:rsidRPr="008210C1">
        <w:rPr>
          <w:rFonts w:ascii="Times New Roman" w:hAnsi="Times New Roman" w:cs="Times New Roman"/>
          <w:sz w:val="24"/>
          <w:szCs w:val="24"/>
          <w:lang w:val="en-US"/>
        </w:rPr>
        <w:t xml:space="preserve">means that </w:t>
      </w:r>
      <w:r w:rsidRPr="008210C1">
        <w:rPr>
          <w:rFonts w:ascii="Times New Roman" w:hAnsi="Times New Roman" w:cs="Times New Roman"/>
          <w:sz w:val="24"/>
          <w:szCs w:val="24"/>
          <w:lang w:val="en-US"/>
        </w:rPr>
        <w:t xml:space="preserve">fiscal consolidation </w:t>
      </w:r>
      <w:r w:rsidR="00A372E4" w:rsidRPr="008210C1">
        <w:rPr>
          <w:rFonts w:ascii="Times New Roman" w:hAnsi="Times New Roman" w:cs="Times New Roman"/>
          <w:sz w:val="24"/>
          <w:szCs w:val="24"/>
          <w:lang w:val="en-US"/>
        </w:rPr>
        <w:t xml:space="preserve">produces </w:t>
      </w:r>
      <w:r w:rsidRPr="008210C1">
        <w:rPr>
          <w:rFonts w:ascii="Times New Roman" w:hAnsi="Times New Roman" w:cs="Times New Roman"/>
          <w:sz w:val="24"/>
          <w:szCs w:val="24"/>
          <w:lang w:val="en-US"/>
        </w:rPr>
        <w:t>reduction of public investment</w:t>
      </w:r>
      <w:r w:rsidR="00FD048C" w:rsidRPr="008210C1">
        <w:rPr>
          <w:rFonts w:ascii="Times New Roman" w:hAnsi="Times New Roman" w:cs="Times New Roman"/>
          <w:sz w:val="24"/>
          <w:szCs w:val="24"/>
          <w:lang w:val="en-US"/>
        </w:rPr>
        <w:t>, whereas</w:t>
      </w:r>
      <w:r w:rsidRPr="008210C1">
        <w:rPr>
          <w:rFonts w:ascii="Times New Roman" w:hAnsi="Times New Roman" w:cs="Times New Roman"/>
          <w:sz w:val="24"/>
          <w:szCs w:val="24"/>
          <w:lang w:val="en-US"/>
        </w:rPr>
        <w:t xml:space="preserve"> </w:t>
      </w:r>
      <w:r w:rsidR="00FD048C" w:rsidRPr="008210C1">
        <w:rPr>
          <w:rFonts w:ascii="Times New Roman" w:hAnsi="Times New Roman" w:cs="Times New Roman"/>
          <w:sz w:val="24"/>
          <w:szCs w:val="24"/>
          <w:lang w:val="en-US"/>
        </w:rPr>
        <w:t>private</w:t>
      </w:r>
      <w:r w:rsidRPr="008210C1">
        <w:rPr>
          <w:rFonts w:ascii="Times New Roman" w:hAnsi="Times New Roman" w:cs="Times New Roman"/>
          <w:sz w:val="24"/>
          <w:szCs w:val="24"/>
          <w:lang w:val="en-US"/>
        </w:rPr>
        <w:t xml:space="preserve"> investment</w:t>
      </w:r>
      <w:r w:rsidR="00A372E4" w:rsidRPr="008210C1">
        <w:rPr>
          <w:rFonts w:ascii="Times New Roman" w:hAnsi="Times New Roman" w:cs="Times New Roman"/>
          <w:sz w:val="24"/>
          <w:szCs w:val="24"/>
          <w:lang w:val="en-US"/>
        </w:rPr>
        <w:t xml:space="preserve"> i</w:t>
      </w:r>
      <w:r w:rsidR="00FD048C" w:rsidRPr="008210C1">
        <w:rPr>
          <w:rFonts w:ascii="Times New Roman" w:hAnsi="Times New Roman" w:cs="Times New Roman"/>
          <w:sz w:val="24"/>
          <w:szCs w:val="24"/>
          <w:lang w:val="en-US"/>
        </w:rPr>
        <w:t>s</w:t>
      </w:r>
      <w:r w:rsidR="00A372E4" w:rsidRPr="008210C1">
        <w:rPr>
          <w:rFonts w:ascii="Times New Roman" w:hAnsi="Times New Roman" w:cs="Times New Roman"/>
          <w:sz w:val="24"/>
          <w:szCs w:val="24"/>
          <w:lang w:val="en-US"/>
        </w:rPr>
        <w:t xml:space="preserve"> reduced by </w:t>
      </w:r>
      <w:r w:rsidRPr="008210C1">
        <w:rPr>
          <w:rFonts w:ascii="Times New Roman" w:hAnsi="Times New Roman" w:cs="Times New Roman"/>
          <w:sz w:val="24"/>
          <w:szCs w:val="24"/>
          <w:lang w:val="en-US"/>
        </w:rPr>
        <w:t xml:space="preserve">the companies directly </w:t>
      </w:r>
      <w:r w:rsidR="00A372E4" w:rsidRPr="008210C1">
        <w:rPr>
          <w:rFonts w:ascii="Times New Roman" w:hAnsi="Times New Roman" w:cs="Times New Roman"/>
          <w:sz w:val="24"/>
          <w:szCs w:val="24"/>
          <w:lang w:val="en-US"/>
        </w:rPr>
        <w:t xml:space="preserve">influenced </w:t>
      </w:r>
      <w:r w:rsidRPr="008210C1">
        <w:rPr>
          <w:rFonts w:ascii="Times New Roman" w:hAnsi="Times New Roman" w:cs="Times New Roman"/>
          <w:sz w:val="24"/>
          <w:szCs w:val="24"/>
          <w:lang w:val="en-US"/>
        </w:rPr>
        <w:t xml:space="preserve">by </w:t>
      </w:r>
      <w:r w:rsidR="00A372E4" w:rsidRPr="008210C1">
        <w:rPr>
          <w:rFonts w:ascii="Times New Roman" w:hAnsi="Times New Roman" w:cs="Times New Roman"/>
          <w:sz w:val="24"/>
          <w:szCs w:val="24"/>
          <w:lang w:val="en-US"/>
        </w:rPr>
        <w:t xml:space="preserve">the </w:t>
      </w:r>
      <w:r w:rsidR="00FD048C" w:rsidRPr="008210C1">
        <w:rPr>
          <w:rFonts w:ascii="Times New Roman" w:hAnsi="Times New Roman" w:cs="Times New Roman"/>
          <w:sz w:val="24"/>
          <w:szCs w:val="24"/>
          <w:lang w:val="en-US"/>
        </w:rPr>
        <w:t>‘Lava-</w:t>
      </w:r>
      <w:proofErr w:type="spellStart"/>
      <w:r w:rsidR="00FD048C" w:rsidRPr="008210C1">
        <w:rPr>
          <w:rFonts w:ascii="Times New Roman" w:hAnsi="Times New Roman" w:cs="Times New Roman"/>
          <w:sz w:val="24"/>
          <w:szCs w:val="24"/>
          <w:lang w:val="en-US"/>
        </w:rPr>
        <w:t>Jato</w:t>
      </w:r>
      <w:proofErr w:type="spellEnd"/>
      <w:r w:rsidR="00FD048C"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The fragility of the current government</w:t>
      </w:r>
      <w:r w:rsidR="00A372E4" w:rsidRPr="008210C1">
        <w:rPr>
          <w:rFonts w:ascii="Times New Roman" w:hAnsi="Times New Roman" w:cs="Times New Roman"/>
          <w:sz w:val="24"/>
          <w:szCs w:val="24"/>
          <w:lang w:val="en-US"/>
        </w:rPr>
        <w:t>, in view</w:t>
      </w:r>
      <w:r w:rsidR="00674851" w:rsidRPr="008210C1">
        <w:rPr>
          <w:rFonts w:ascii="Times New Roman" w:hAnsi="Times New Roman" w:cs="Times New Roman"/>
          <w:sz w:val="24"/>
          <w:szCs w:val="24"/>
          <w:lang w:val="en-US"/>
        </w:rPr>
        <w:t xml:space="preserve"> of</w:t>
      </w:r>
      <w:r w:rsidRPr="008210C1">
        <w:rPr>
          <w:rFonts w:ascii="Times New Roman" w:hAnsi="Times New Roman" w:cs="Times New Roman"/>
          <w:sz w:val="24"/>
          <w:szCs w:val="24"/>
          <w:lang w:val="en-US"/>
        </w:rPr>
        <w:t xml:space="preserve"> these two non-economic issues</w:t>
      </w:r>
      <w:r w:rsidR="00A372E4"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curbs the</w:t>
      </w:r>
      <w:r w:rsidR="00B8019A" w:rsidRPr="008210C1">
        <w:rPr>
          <w:rFonts w:ascii="Times New Roman" w:hAnsi="Times New Roman" w:cs="Times New Roman"/>
          <w:sz w:val="24"/>
          <w:szCs w:val="24"/>
          <w:lang w:val="en-US"/>
        </w:rPr>
        <w:t xml:space="preserve"> economic</w:t>
      </w:r>
      <w:r w:rsidRPr="008210C1">
        <w:rPr>
          <w:rFonts w:ascii="Times New Roman" w:hAnsi="Times New Roman" w:cs="Times New Roman"/>
          <w:sz w:val="24"/>
          <w:szCs w:val="24"/>
          <w:lang w:val="en-US"/>
        </w:rPr>
        <w:t xml:space="preserve"> leadership</w:t>
      </w:r>
      <w:r w:rsidR="00A372E4"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w:t>
      </w:r>
      <w:r w:rsidR="00263F0C" w:rsidRPr="008210C1">
        <w:rPr>
          <w:rFonts w:ascii="Times New Roman" w:hAnsi="Times New Roman" w:cs="Times New Roman"/>
          <w:sz w:val="24"/>
          <w:szCs w:val="24"/>
          <w:lang w:val="en-US"/>
        </w:rPr>
        <w:t>Again</w:t>
      </w:r>
      <w:r w:rsidRPr="008210C1">
        <w:rPr>
          <w:rFonts w:ascii="Times New Roman" w:hAnsi="Times New Roman" w:cs="Times New Roman"/>
          <w:sz w:val="24"/>
          <w:szCs w:val="24"/>
          <w:lang w:val="en-US"/>
        </w:rPr>
        <w:t xml:space="preserve">, conventions </w:t>
      </w:r>
      <w:r w:rsidR="00EE4404" w:rsidRPr="008210C1">
        <w:rPr>
          <w:rFonts w:ascii="Times New Roman" w:hAnsi="Times New Roman" w:cs="Times New Roman"/>
          <w:sz w:val="24"/>
          <w:szCs w:val="24"/>
          <w:lang w:val="en-US"/>
        </w:rPr>
        <w:t>fulfill</w:t>
      </w:r>
      <w:r w:rsidRPr="008210C1">
        <w:rPr>
          <w:rFonts w:ascii="Times New Roman" w:hAnsi="Times New Roman" w:cs="Times New Roman"/>
          <w:sz w:val="24"/>
          <w:szCs w:val="24"/>
          <w:lang w:val="en-US"/>
        </w:rPr>
        <w:t xml:space="preserve"> prospects of a bad future, making liquidity preferred to investment, pushing the economic growth down and the </w:t>
      </w:r>
      <w:r w:rsidR="00263F0C" w:rsidRPr="008210C1">
        <w:rPr>
          <w:rFonts w:ascii="Times New Roman" w:hAnsi="Times New Roman" w:cs="Times New Roman"/>
          <w:sz w:val="24"/>
          <w:szCs w:val="24"/>
          <w:lang w:val="en-US"/>
        </w:rPr>
        <w:t xml:space="preserve">employment </w:t>
      </w:r>
      <w:r w:rsidRPr="008210C1">
        <w:rPr>
          <w:rFonts w:ascii="Times New Roman" w:hAnsi="Times New Roman" w:cs="Times New Roman"/>
          <w:sz w:val="24"/>
          <w:szCs w:val="24"/>
          <w:lang w:val="en-US"/>
        </w:rPr>
        <w:t xml:space="preserve">rate </w:t>
      </w:r>
      <w:r w:rsidR="00263F0C" w:rsidRPr="008210C1">
        <w:rPr>
          <w:rFonts w:ascii="Times New Roman" w:hAnsi="Times New Roman" w:cs="Times New Roman"/>
          <w:sz w:val="24"/>
          <w:szCs w:val="24"/>
          <w:lang w:val="en-US"/>
        </w:rPr>
        <w:t>down</w:t>
      </w:r>
      <w:r w:rsidRPr="008210C1">
        <w:rPr>
          <w:rFonts w:ascii="Times New Roman" w:hAnsi="Times New Roman" w:cs="Times New Roman"/>
          <w:sz w:val="24"/>
          <w:szCs w:val="24"/>
          <w:lang w:val="en-US"/>
        </w:rPr>
        <w:t>.</w:t>
      </w:r>
    </w:p>
    <w:p w:rsidR="00172FB5" w:rsidRPr="008210C1" w:rsidRDefault="00172FB5" w:rsidP="008210C1">
      <w:pPr>
        <w:spacing w:after="0" w:line="240" w:lineRule="auto"/>
        <w:jc w:val="both"/>
        <w:rPr>
          <w:rFonts w:ascii="Times New Roman" w:hAnsi="Times New Roman" w:cs="Times New Roman"/>
          <w:sz w:val="24"/>
          <w:szCs w:val="24"/>
          <w:lang w:val="en-US"/>
        </w:rPr>
      </w:pPr>
    </w:p>
    <w:p w:rsidR="00671211" w:rsidRPr="008210C1" w:rsidRDefault="00671211" w:rsidP="008210C1">
      <w:pPr>
        <w:spacing w:after="0" w:line="240" w:lineRule="auto"/>
        <w:jc w:val="both"/>
        <w:rPr>
          <w:rFonts w:ascii="Times New Roman" w:hAnsi="Times New Roman" w:cs="Times New Roman"/>
          <w:b/>
          <w:sz w:val="24"/>
          <w:szCs w:val="24"/>
          <w:lang w:val="en-US"/>
        </w:rPr>
      </w:pPr>
      <w:r w:rsidRPr="008210C1">
        <w:rPr>
          <w:rFonts w:ascii="Times New Roman" w:hAnsi="Times New Roman" w:cs="Times New Roman"/>
          <w:b/>
          <w:sz w:val="24"/>
          <w:szCs w:val="24"/>
          <w:lang w:val="en-US"/>
        </w:rPr>
        <w:t>5. Final Remarks</w:t>
      </w:r>
    </w:p>
    <w:p w:rsidR="00671211" w:rsidRPr="008210C1" w:rsidRDefault="00671211" w:rsidP="008210C1">
      <w:pPr>
        <w:spacing w:after="0" w:line="240" w:lineRule="auto"/>
        <w:ind w:firstLine="70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Brazil has been </w:t>
      </w:r>
      <w:r w:rsidR="00131340" w:rsidRPr="008210C1">
        <w:rPr>
          <w:rFonts w:ascii="Times New Roman" w:hAnsi="Times New Roman" w:cs="Times New Roman"/>
          <w:sz w:val="24"/>
          <w:szCs w:val="24"/>
          <w:lang w:val="en-US"/>
        </w:rPr>
        <w:t xml:space="preserve">going </w:t>
      </w:r>
      <w:r w:rsidRPr="008210C1">
        <w:rPr>
          <w:rFonts w:ascii="Times New Roman" w:hAnsi="Times New Roman" w:cs="Times New Roman"/>
          <w:sz w:val="24"/>
          <w:szCs w:val="24"/>
          <w:lang w:val="en-US"/>
        </w:rPr>
        <w:t xml:space="preserve">through its bitter moment in history. </w:t>
      </w:r>
      <w:r w:rsidR="00131340" w:rsidRPr="008210C1">
        <w:rPr>
          <w:rFonts w:ascii="Times New Roman" w:hAnsi="Times New Roman" w:cs="Times New Roman"/>
          <w:sz w:val="24"/>
          <w:szCs w:val="24"/>
          <w:lang w:val="en-US"/>
        </w:rPr>
        <w:t>E</w:t>
      </w:r>
      <w:r w:rsidRPr="008210C1">
        <w:rPr>
          <w:rFonts w:ascii="Times New Roman" w:hAnsi="Times New Roman" w:cs="Times New Roman"/>
          <w:sz w:val="24"/>
          <w:szCs w:val="24"/>
          <w:lang w:val="en-US"/>
        </w:rPr>
        <w:t xml:space="preserve">conomic contradictions and more recently a </w:t>
      </w:r>
      <w:r w:rsidR="00A372E4" w:rsidRPr="008210C1">
        <w:rPr>
          <w:rFonts w:ascii="Times New Roman" w:hAnsi="Times New Roman" w:cs="Times New Roman"/>
          <w:sz w:val="24"/>
          <w:szCs w:val="24"/>
          <w:lang w:val="en-US"/>
        </w:rPr>
        <w:t xml:space="preserve">period </w:t>
      </w:r>
      <w:r w:rsidR="00131340" w:rsidRPr="008210C1">
        <w:rPr>
          <w:rFonts w:ascii="Times New Roman" w:hAnsi="Times New Roman" w:cs="Times New Roman"/>
          <w:sz w:val="24"/>
          <w:szCs w:val="24"/>
          <w:lang w:val="en-US"/>
        </w:rPr>
        <w:t>of</w:t>
      </w:r>
      <w:r w:rsidRPr="008210C1">
        <w:rPr>
          <w:rFonts w:ascii="Times New Roman" w:hAnsi="Times New Roman" w:cs="Times New Roman"/>
          <w:sz w:val="24"/>
          <w:szCs w:val="24"/>
          <w:lang w:val="en-US"/>
        </w:rPr>
        <w:t xml:space="preserve"> economic and political problems </w:t>
      </w:r>
      <w:r w:rsidR="00A372E4" w:rsidRPr="008210C1">
        <w:rPr>
          <w:rFonts w:ascii="Times New Roman" w:hAnsi="Times New Roman" w:cs="Times New Roman"/>
          <w:sz w:val="24"/>
          <w:szCs w:val="24"/>
          <w:lang w:val="en-US"/>
        </w:rPr>
        <w:t>ha</w:t>
      </w:r>
      <w:r w:rsidR="00EE4404" w:rsidRPr="008210C1">
        <w:rPr>
          <w:rFonts w:ascii="Times New Roman" w:hAnsi="Times New Roman" w:cs="Times New Roman"/>
          <w:sz w:val="24"/>
          <w:szCs w:val="24"/>
          <w:lang w:val="en-US"/>
        </w:rPr>
        <w:t xml:space="preserve">ve </w:t>
      </w:r>
      <w:r w:rsidRPr="008210C1">
        <w:rPr>
          <w:rFonts w:ascii="Times New Roman" w:hAnsi="Times New Roman" w:cs="Times New Roman"/>
          <w:sz w:val="24"/>
          <w:szCs w:val="24"/>
          <w:lang w:val="en-US"/>
        </w:rPr>
        <w:t>provoked</w:t>
      </w:r>
      <w:r w:rsidR="00F702B0"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conventions that dishearten </w:t>
      </w:r>
      <w:r w:rsidR="00A372E4" w:rsidRPr="008210C1">
        <w:rPr>
          <w:rFonts w:ascii="Times New Roman" w:hAnsi="Times New Roman" w:cs="Times New Roman"/>
          <w:sz w:val="24"/>
          <w:szCs w:val="24"/>
          <w:lang w:val="en-US"/>
        </w:rPr>
        <w:t xml:space="preserve">the </w:t>
      </w:r>
      <w:r w:rsidRPr="008210C1">
        <w:rPr>
          <w:rFonts w:ascii="Times New Roman" w:hAnsi="Times New Roman" w:cs="Times New Roman"/>
          <w:sz w:val="24"/>
          <w:szCs w:val="24"/>
          <w:lang w:val="en-US"/>
        </w:rPr>
        <w:t xml:space="preserve">expectations </w:t>
      </w:r>
      <w:r w:rsidR="00877B34" w:rsidRPr="008210C1">
        <w:rPr>
          <w:rFonts w:ascii="Times New Roman" w:hAnsi="Times New Roman" w:cs="Times New Roman"/>
          <w:sz w:val="24"/>
          <w:szCs w:val="24"/>
          <w:lang w:val="en-US"/>
        </w:rPr>
        <w:t>of</w:t>
      </w:r>
      <w:r w:rsidRPr="008210C1">
        <w:rPr>
          <w:rFonts w:ascii="Times New Roman" w:hAnsi="Times New Roman" w:cs="Times New Roman"/>
          <w:sz w:val="24"/>
          <w:szCs w:val="24"/>
          <w:lang w:val="en-US"/>
        </w:rPr>
        <w:t xml:space="preserve"> the </w:t>
      </w:r>
      <w:r w:rsidR="0024319D" w:rsidRPr="008210C1">
        <w:rPr>
          <w:rFonts w:ascii="Times New Roman" w:hAnsi="Times New Roman" w:cs="Times New Roman"/>
          <w:sz w:val="24"/>
          <w:szCs w:val="24"/>
          <w:lang w:val="en-US"/>
        </w:rPr>
        <w:t xml:space="preserve">country’s economic </w:t>
      </w:r>
      <w:r w:rsidRPr="008210C1">
        <w:rPr>
          <w:rFonts w:ascii="Times New Roman" w:hAnsi="Times New Roman" w:cs="Times New Roman"/>
          <w:sz w:val="24"/>
          <w:szCs w:val="24"/>
          <w:lang w:val="en-US"/>
        </w:rPr>
        <w:t>future. The issues rest</w:t>
      </w:r>
      <w:r w:rsidR="00131A27" w:rsidRPr="008210C1">
        <w:rPr>
          <w:rFonts w:ascii="Times New Roman" w:hAnsi="Times New Roman" w:cs="Times New Roman"/>
          <w:sz w:val="24"/>
          <w:szCs w:val="24"/>
          <w:lang w:val="en-US"/>
        </w:rPr>
        <w:t xml:space="preserve"> in</w:t>
      </w:r>
      <w:r w:rsidR="00F702B0" w:rsidRPr="008210C1">
        <w:rPr>
          <w:rFonts w:ascii="Times New Roman" w:hAnsi="Times New Roman" w:cs="Times New Roman"/>
          <w:sz w:val="24"/>
          <w:szCs w:val="24"/>
          <w:lang w:val="en-US"/>
        </w:rPr>
        <w:t xml:space="preserve"> </w:t>
      </w:r>
      <w:r w:rsidR="00A808DB" w:rsidRPr="008210C1">
        <w:rPr>
          <w:rFonts w:ascii="Times New Roman" w:hAnsi="Times New Roman" w:cs="Times New Roman"/>
          <w:sz w:val="24"/>
          <w:szCs w:val="24"/>
          <w:lang w:val="en-US"/>
        </w:rPr>
        <w:t xml:space="preserve">contradictions </w:t>
      </w:r>
      <w:r w:rsidR="00131340" w:rsidRPr="008210C1">
        <w:rPr>
          <w:rFonts w:ascii="Times New Roman" w:hAnsi="Times New Roman" w:cs="Times New Roman"/>
          <w:sz w:val="24"/>
          <w:szCs w:val="24"/>
          <w:lang w:val="en-US"/>
        </w:rPr>
        <w:t>within</w:t>
      </w:r>
      <w:r w:rsidR="00F702B0" w:rsidRPr="008210C1">
        <w:rPr>
          <w:rFonts w:ascii="Times New Roman" w:hAnsi="Times New Roman" w:cs="Times New Roman"/>
          <w:sz w:val="24"/>
          <w:szCs w:val="24"/>
          <w:lang w:val="en-US"/>
        </w:rPr>
        <w:t xml:space="preserve"> </w:t>
      </w:r>
      <w:r w:rsidR="00131A27" w:rsidRPr="008210C1">
        <w:rPr>
          <w:rFonts w:ascii="Times New Roman" w:hAnsi="Times New Roman" w:cs="Times New Roman"/>
          <w:sz w:val="24"/>
          <w:szCs w:val="24"/>
          <w:lang w:val="en-US"/>
        </w:rPr>
        <w:t>the macroeconomic polic</w:t>
      </w:r>
      <w:r w:rsidR="00131340" w:rsidRPr="008210C1">
        <w:rPr>
          <w:rFonts w:ascii="Times New Roman" w:hAnsi="Times New Roman" w:cs="Times New Roman"/>
          <w:sz w:val="24"/>
          <w:szCs w:val="24"/>
          <w:lang w:val="en-US"/>
        </w:rPr>
        <w:t>y mix</w:t>
      </w:r>
      <w:r w:rsidR="00131A27" w:rsidRPr="008210C1">
        <w:rPr>
          <w:rFonts w:ascii="Times New Roman" w:hAnsi="Times New Roman" w:cs="Times New Roman"/>
          <w:sz w:val="24"/>
          <w:szCs w:val="24"/>
          <w:lang w:val="en-US"/>
        </w:rPr>
        <w:t xml:space="preserve"> and between </w:t>
      </w:r>
      <w:r w:rsidR="00A372E4" w:rsidRPr="008210C1">
        <w:rPr>
          <w:rFonts w:ascii="Times New Roman" w:hAnsi="Times New Roman" w:cs="Times New Roman"/>
          <w:sz w:val="24"/>
          <w:szCs w:val="24"/>
          <w:lang w:val="en-US"/>
        </w:rPr>
        <w:t>them</w:t>
      </w:r>
      <w:r w:rsidR="00131A27" w:rsidRPr="008210C1">
        <w:rPr>
          <w:rFonts w:ascii="Times New Roman" w:hAnsi="Times New Roman" w:cs="Times New Roman"/>
          <w:sz w:val="24"/>
          <w:szCs w:val="24"/>
          <w:lang w:val="en-US"/>
        </w:rPr>
        <w:t xml:space="preserve"> and the institutional reforms</w:t>
      </w:r>
      <w:r w:rsidR="00263F0C" w:rsidRPr="008210C1">
        <w:rPr>
          <w:rFonts w:ascii="Times New Roman" w:hAnsi="Times New Roman" w:cs="Times New Roman"/>
          <w:sz w:val="24"/>
          <w:szCs w:val="24"/>
          <w:lang w:val="en-US"/>
        </w:rPr>
        <w:t>, as also debated in Chapter 1 of this book</w:t>
      </w:r>
      <w:r w:rsidR="00A808DB" w:rsidRPr="008210C1">
        <w:rPr>
          <w:rFonts w:ascii="Times New Roman" w:hAnsi="Times New Roman" w:cs="Times New Roman"/>
          <w:sz w:val="24"/>
          <w:szCs w:val="24"/>
          <w:lang w:val="en-US"/>
        </w:rPr>
        <w:t xml:space="preserve">. </w:t>
      </w:r>
      <w:r w:rsidR="00131340" w:rsidRPr="008210C1">
        <w:rPr>
          <w:rFonts w:ascii="Times New Roman" w:hAnsi="Times New Roman" w:cs="Times New Roman"/>
          <w:sz w:val="24"/>
          <w:szCs w:val="24"/>
          <w:lang w:val="en-US"/>
        </w:rPr>
        <w:t>Over</w:t>
      </w:r>
      <w:r w:rsidR="00A808DB" w:rsidRPr="008210C1">
        <w:rPr>
          <w:rFonts w:ascii="Times New Roman" w:hAnsi="Times New Roman" w:cs="Times New Roman"/>
          <w:sz w:val="24"/>
          <w:szCs w:val="24"/>
          <w:lang w:val="en-US"/>
        </w:rPr>
        <w:t xml:space="preserve"> 2011-2016</w:t>
      </w:r>
      <w:r w:rsidRPr="008210C1">
        <w:rPr>
          <w:rFonts w:ascii="Times New Roman" w:hAnsi="Times New Roman" w:cs="Times New Roman"/>
          <w:sz w:val="24"/>
          <w:szCs w:val="24"/>
          <w:lang w:val="en-US"/>
        </w:rPr>
        <w:t>, noticeabl</w:t>
      </w:r>
      <w:r w:rsidR="00A372E4" w:rsidRPr="008210C1">
        <w:rPr>
          <w:rFonts w:ascii="Times New Roman" w:hAnsi="Times New Roman" w:cs="Times New Roman"/>
          <w:sz w:val="24"/>
          <w:szCs w:val="24"/>
          <w:lang w:val="en-US"/>
        </w:rPr>
        <w:t>y</w:t>
      </w:r>
      <w:r w:rsidRPr="008210C1">
        <w:rPr>
          <w:rFonts w:ascii="Times New Roman" w:hAnsi="Times New Roman" w:cs="Times New Roman"/>
          <w:sz w:val="24"/>
          <w:szCs w:val="24"/>
          <w:lang w:val="en-US"/>
        </w:rPr>
        <w:t xml:space="preserve"> between 2014 and 2016, the political crisis and the impact of ‘Lava </w:t>
      </w:r>
      <w:proofErr w:type="spellStart"/>
      <w:r w:rsidRPr="008210C1">
        <w:rPr>
          <w:rFonts w:ascii="Times New Roman" w:hAnsi="Times New Roman" w:cs="Times New Roman"/>
          <w:sz w:val="24"/>
          <w:szCs w:val="24"/>
          <w:lang w:val="en-US"/>
        </w:rPr>
        <w:t>Jato</w:t>
      </w:r>
      <w:proofErr w:type="spellEnd"/>
      <w:r w:rsidRPr="008210C1">
        <w:rPr>
          <w:rFonts w:ascii="Times New Roman" w:hAnsi="Times New Roman" w:cs="Times New Roman"/>
          <w:sz w:val="24"/>
          <w:szCs w:val="24"/>
          <w:lang w:val="en-US"/>
        </w:rPr>
        <w:t xml:space="preserve">’ also </w:t>
      </w:r>
      <w:r w:rsidR="00131340" w:rsidRPr="008210C1">
        <w:rPr>
          <w:rFonts w:ascii="Times New Roman" w:hAnsi="Times New Roman" w:cs="Times New Roman"/>
          <w:sz w:val="24"/>
          <w:szCs w:val="24"/>
          <w:lang w:val="en-US"/>
        </w:rPr>
        <w:t>heated</w:t>
      </w:r>
      <w:r w:rsidRPr="008210C1">
        <w:rPr>
          <w:rFonts w:ascii="Times New Roman" w:hAnsi="Times New Roman" w:cs="Times New Roman"/>
          <w:sz w:val="24"/>
          <w:szCs w:val="24"/>
          <w:lang w:val="en-US"/>
        </w:rPr>
        <w:t xml:space="preserve"> the controversial atm</w:t>
      </w:r>
      <w:r w:rsidR="00131340" w:rsidRPr="008210C1">
        <w:rPr>
          <w:rFonts w:ascii="Times New Roman" w:hAnsi="Times New Roman" w:cs="Times New Roman"/>
          <w:sz w:val="24"/>
          <w:szCs w:val="24"/>
          <w:lang w:val="en-US"/>
        </w:rPr>
        <w:t>osphere in the country and casted</w:t>
      </w:r>
      <w:r w:rsidRPr="008210C1">
        <w:rPr>
          <w:rFonts w:ascii="Times New Roman" w:hAnsi="Times New Roman" w:cs="Times New Roman"/>
          <w:sz w:val="24"/>
          <w:szCs w:val="24"/>
          <w:lang w:val="en-US"/>
        </w:rPr>
        <w:t xml:space="preserve"> </w:t>
      </w:r>
      <w:r w:rsidR="00131340" w:rsidRPr="008210C1">
        <w:rPr>
          <w:rFonts w:ascii="Times New Roman" w:hAnsi="Times New Roman" w:cs="Times New Roman"/>
          <w:sz w:val="24"/>
          <w:szCs w:val="24"/>
          <w:lang w:val="en-US"/>
        </w:rPr>
        <w:t xml:space="preserve">despaired </w:t>
      </w:r>
      <w:r w:rsidRPr="008210C1">
        <w:rPr>
          <w:rFonts w:ascii="Times New Roman" w:hAnsi="Times New Roman" w:cs="Times New Roman"/>
          <w:sz w:val="24"/>
          <w:szCs w:val="24"/>
          <w:lang w:val="en-US"/>
        </w:rPr>
        <w:t xml:space="preserve">conventions </w:t>
      </w:r>
      <w:r w:rsidR="00131340" w:rsidRPr="008210C1">
        <w:rPr>
          <w:rFonts w:ascii="Times New Roman" w:hAnsi="Times New Roman" w:cs="Times New Roman"/>
          <w:sz w:val="24"/>
          <w:szCs w:val="24"/>
          <w:lang w:val="en-US"/>
        </w:rPr>
        <w:t>and</w:t>
      </w:r>
      <w:r w:rsidRPr="008210C1">
        <w:rPr>
          <w:rFonts w:ascii="Times New Roman" w:hAnsi="Times New Roman" w:cs="Times New Roman"/>
          <w:sz w:val="24"/>
          <w:szCs w:val="24"/>
          <w:lang w:val="en-US"/>
        </w:rPr>
        <w:t xml:space="preserve"> expectations. </w:t>
      </w:r>
    </w:p>
    <w:p w:rsidR="00671211" w:rsidRPr="008210C1" w:rsidRDefault="00A372E4" w:rsidP="008210C1">
      <w:pPr>
        <w:spacing w:after="0" w:line="240" w:lineRule="auto"/>
        <w:ind w:firstLine="708"/>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In contrast</w:t>
      </w:r>
      <w:r w:rsidR="00671211"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t</w:t>
      </w:r>
      <w:r w:rsidR="00671211" w:rsidRPr="008210C1">
        <w:rPr>
          <w:rFonts w:ascii="Times New Roman" w:hAnsi="Times New Roman" w:cs="Times New Roman"/>
          <w:sz w:val="24"/>
          <w:szCs w:val="24"/>
          <w:lang w:val="en-US"/>
        </w:rPr>
        <w:t xml:space="preserve">o what the government has been doing, conventions of a better future would only emerge if </w:t>
      </w:r>
      <w:r w:rsidR="00877B34" w:rsidRPr="008210C1">
        <w:rPr>
          <w:rFonts w:ascii="Times New Roman" w:hAnsi="Times New Roman" w:cs="Times New Roman"/>
          <w:sz w:val="24"/>
          <w:szCs w:val="24"/>
          <w:lang w:val="en-US"/>
        </w:rPr>
        <w:t>agents s</w:t>
      </w:r>
      <w:r w:rsidRPr="008210C1">
        <w:rPr>
          <w:rFonts w:ascii="Times New Roman" w:hAnsi="Times New Roman" w:cs="Times New Roman"/>
          <w:sz w:val="24"/>
          <w:szCs w:val="24"/>
          <w:lang w:val="en-US"/>
        </w:rPr>
        <w:t xml:space="preserve">aw </w:t>
      </w:r>
      <w:r w:rsidR="00671211" w:rsidRPr="008210C1">
        <w:rPr>
          <w:rFonts w:ascii="Times New Roman" w:hAnsi="Times New Roman" w:cs="Times New Roman"/>
          <w:sz w:val="24"/>
          <w:szCs w:val="24"/>
          <w:lang w:val="en-US"/>
        </w:rPr>
        <w:t>the economic policy as trustful and aimed at building demand drivers, notabl</w:t>
      </w:r>
      <w:r w:rsidRPr="008210C1">
        <w:rPr>
          <w:rFonts w:ascii="Times New Roman" w:hAnsi="Times New Roman" w:cs="Times New Roman"/>
          <w:sz w:val="24"/>
          <w:szCs w:val="24"/>
          <w:lang w:val="en-US"/>
        </w:rPr>
        <w:t>y</w:t>
      </w:r>
      <w:r w:rsidR="00671211" w:rsidRPr="008210C1">
        <w:rPr>
          <w:rFonts w:ascii="Times New Roman" w:hAnsi="Times New Roman" w:cs="Times New Roman"/>
          <w:sz w:val="24"/>
          <w:szCs w:val="24"/>
          <w:lang w:val="en-US"/>
        </w:rPr>
        <w:t xml:space="preserve"> public investment, monetary and exchange rate stabilit</w:t>
      </w:r>
      <w:r w:rsidR="00F81BF8" w:rsidRPr="008210C1">
        <w:rPr>
          <w:rFonts w:ascii="Times New Roman" w:hAnsi="Times New Roman" w:cs="Times New Roman"/>
          <w:sz w:val="24"/>
          <w:szCs w:val="24"/>
          <w:lang w:val="en-US"/>
        </w:rPr>
        <w:t>y</w:t>
      </w:r>
      <w:r w:rsidR="00671211" w:rsidRPr="008210C1">
        <w:rPr>
          <w:rFonts w:ascii="Times New Roman" w:hAnsi="Times New Roman" w:cs="Times New Roman"/>
          <w:sz w:val="24"/>
          <w:szCs w:val="24"/>
          <w:lang w:val="en-US"/>
        </w:rPr>
        <w:t xml:space="preserve">, and </w:t>
      </w:r>
      <w:r w:rsidR="00263F0C" w:rsidRPr="008210C1">
        <w:rPr>
          <w:rFonts w:ascii="Times New Roman" w:hAnsi="Times New Roman" w:cs="Times New Roman"/>
          <w:sz w:val="24"/>
          <w:szCs w:val="24"/>
          <w:lang w:val="en-US"/>
        </w:rPr>
        <w:t xml:space="preserve">good </w:t>
      </w:r>
      <w:r w:rsidR="00671211" w:rsidRPr="008210C1">
        <w:rPr>
          <w:rFonts w:ascii="Times New Roman" w:hAnsi="Times New Roman" w:cs="Times New Roman"/>
          <w:sz w:val="24"/>
          <w:szCs w:val="24"/>
          <w:lang w:val="en-US"/>
        </w:rPr>
        <w:t>institutional environment. Th</w:t>
      </w:r>
      <w:r w:rsidR="00877B34" w:rsidRPr="008210C1">
        <w:rPr>
          <w:rFonts w:ascii="Times New Roman" w:hAnsi="Times New Roman" w:cs="Times New Roman"/>
          <w:sz w:val="24"/>
          <w:szCs w:val="24"/>
          <w:lang w:val="en-US"/>
        </w:rPr>
        <w:t>e</w:t>
      </w:r>
      <w:r w:rsidR="00671211" w:rsidRPr="008210C1">
        <w:rPr>
          <w:rFonts w:ascii="Times New Roman" w:hAnsi="Times New Roman" w:cs="Times New Roman"/>
          <w:sz w:val="24"/>
          <w:szCs w:val="24"/>
          <w:lang w:val="en-US"/>
        </w:rPr>
        <w:t>s</w:t>
      </w:r>
      <w:r w:rsidR="00877B34" w:rsidRPr="008210C1">
        <w:rPr>
          <w:rFonts w:ascii="Times New Roman" w:hAnsi="Times New Roman" w:cs="Times New Roman"/>
          <w:sz w:val="24"/>
          <w:szCs w:val="24"/>
          <w:lang w:val="en-US"/>
        </w:rPr>
        <w:t>e</w:t>
      </w:r>
      <w:r w:rsidR="00671211" w:rsidRPr="008210C1">
        <w:rPr>
          <w:rFonts w:ascii="Times New Roman" w:hAnsi="Times New Roman" w:cs="Times New Roman"/>
          <w:sz w:val="24"/>
          <w:szCs w:val="24"/>
          <w:lang w:val="en-US"/>
        </w:rPr>
        <w:t xml:space="preserve"> Keynesian and Post Keynesian policies </w:t>
      </w:r>
      <w:r w:rsidR="00877B34" w:rsidRPr="008210C1">
        <w:rPr>
          <w:rFonts w:ascii="Times New Roman" w:hAnsi="Times New Roman" w:cs="Times New Roman"/>
          <w:sz w:val="24"/>
          <w:szCs w:val="24"/>
          <w:lang w:val="en-US"/>
        </w:rPr>
        <w:t>were not</w:t>
      </w:r>
      <w:r w:rsidR="00671211" w:rsidRPr="008210C1">
        <w:rPr>
          <w:rFonts w:ascii="Times New Roman" w:hAnsi="Times New Roman" w:cs="Times New Roman"/>
          <w:sz w:val="24"/>
          <w:szCs w:val="24"/>
          <w:lang w:val="en-US"/>
        </w:rPr>
        <w:t xml:space="preserve"> implemented in Brazil, although some critics argue that the failed experience of Rousseff’s macroeconomic policy was Keynes</w:t>
      </w:r>
      <w:r w:rsidR="00877B34" w:rsidRPr="008210C1">
        <w:rPr>
          <w:rFonts w:ascii="Times New Roman" w:hAnsi="Times New Roman" w:cs="Times New Roman"/>
          <w:sz w:val="24"/>
          <w:szCs w:val="24"/>
          <w:lang w:val="en-US"/>
        </w:rPr>
        <w:t>ian</w:t>
      </w:r>
      <w:r w:rsidR="00671211" w:rsidRPr="008210C1">
        <w:rPr>
          <w:rFonts w:ascii="Times New Roman" w:hAnsi="Times New Roman" w:cs="Times New Roman"/>
          <w:sz w:val="24"/>
          <w:szCs w:val="24"/>
          <w:lang w:val="en-US"/>
        </w:rPr>
        <w:t xml:space="preserve">. As </w:t>
      </w:r>
      <w:r w:rsidR="005B24BF" w:rsidRPr="008210C1">
        <w:rPr>
          <w:rFonts w:ascii="Times New Roman" w:hAnsi="Times New Roman" w:cs="Times New Roman"/>
          <w:sz w:val="24"/>
          <w:szCs w:val="24"/>
          <w:lang w:val="en-US"/>
        </w:rPr>
        <w:t>Resende et al</w:t>
      </w:r>
      <w:r w:rsidRPr="008210C1">
        <w:rPr>
          <w:rFonts w:ascii="Times New Roman" w:hAnsi="Times New Roman" w:cs="Times New Roman"/>
          <w:sz w:val="24"/>
          <w:szCs w:val="24"/>
          <w:lang w:val="en-US"/>
        </w:rPr>
        <w:t>.</w:t>
      </w:r>
      <w:r w:rsidR="005B24BF" w:rsidRPr="008210C1">
        <w:rPr>
          <w:rFonts w:ascii="Times New Roman" w:hAnsi="Times New Roman" w:cs="Times New Roman"/>
          <w:sz w:val="24"/>
          <w:szCs w:val="24"/>
          <w:lang w:val="en-US"/>
        </w:rPr>
        <w:t xml:space="preserve"> (2013)</w:t>
      </w:r>
      <w:r w:rsidR="00671211" w:rsidRPr="008210C1">
        <w:rPr>
          <w:rFonts w:ascii="Times New Roman" w:hAnsi="Times New Roman" w:cs="Times New Roman"/>
          <w:sz w:val="24"/>
          <w:szCs w:val="24"/>
          <w:lang w:val="en-US"/>
        </w:rPr>
        <w:t xml:space="preserve"> stated, this was not the case. Thus, the Keynesian economic policies this paper presents are the right choice to foment conventions that would forge expectations of a better future. If policies</w:t>
      </w:r>
      <w:r w:rsidR="009D3EBF" w:rsidRPr="008210C1">
        <w:rPr>
          <w:rFonts w:ascii="Times New Roman" w:hAnsi="Times New Roman" w:cs="Times New Roman"/>
          <w:sz w:val="24"/>
          <w:szCs w:val="24"/>
          <w:lang w:val="en-US"/>
        </w:rPr>
        <w:t>,</w:t>
      </w:r>
      <w:r w:rsidR="00671211" w:rsidRPr="008210C1">
        <w:rPr>
          <w:rFonts w:ascii="Times New Roman" w:hAnsi="Times New Roman" w:cs="Times New Roman"/>
          <w:sz w:val="24"/>
          <w:szCs w:val="24"/>
          <w:lang w:val="en-US"/>
        </w:rPr>
        <w:t xml:space="preserve"> such as the orthodox fiscal austerity and the restrictive </w:t>
      </w:r>
      <w:r w:rsidR="00EE4404" w:rsidRPr="008210C1">
        <w:rPr>
          <w:rFonts w:ascii="Times New Roman" w:hAnsi="Times New Roman" w:cs="Times New Roman"/>
          <w:sz w:val="24"/>
          <w:szCs w:val="24"/>
          <w:lang w:val="en-US"/>
        </w:rPr>
        <w:t>i</w:t>
      </w:r>
      <w:r w:rsidR="00671211" w:rsidRPr="008210C1">
        <w:rPr>
          <w:rFonts w:ascii="Times New Roman" w:hAnsi="Times New Roman" w:cs="Times New Roman"/>
          <w:sz w:val="24"/>
          <w:szCs w:val="24"/>
          <w:lang w:val="en-US"/>
        </w:rPr>
        <w:t xml:space="preserve">nflation </w:t>
      </w:r>
      <w:r w:rsidR="00EE4404" w:rsidRPr="008210C1">
        <w:rPr>
          <w:rFonts w:ascii="Times New Roman" w:hAnsi="Times New Roman" w:cs="Times New Roman"/>
          <w:sz w:val="24"/>
          <w:szCs w:val="24"/>
          <w:lang w:val="en-US"/>
        </w:rPr>
        <w:t>t</w:t>
      </w:r>
      <w:r w:rsidR="00671211" w:rsidRPr="008210C1">
        <w:rPr>
          <w:rFonts w:ascii="Times New Roman" w:hAnsi="Times New Roman" w:cs="Times New Roman"/>
          <w:sz w:val="24"/>
          <w:szCs w:val="24"/>
          <w:lang w:val="en-US"/>
        </w:rPr>
        <w:t>argeting</w:t>
      </w:r>
      <w:r w:rsidR="009D3EBF" w:rsidRPr="008210C1">
        <w:rPr>
          <w:rFonts w:ascii="Times New Roman" w:hAnsi="Times New Roman" w:cs="Times New Roman"/>
          <w:sz w:val="24"/>
          <w:szCs w:val="24"/>
          <w:lang w:val="en-US"/>
        </w:rPr>
        <w:t>,</w:t>
      </w:r>
      <w:r w:rsidR="00671211" w:rsidRPr="008210C1">
        <w:rPr>
          <w:rFonts w:ascii="Times New Roman" w:hAnsi="Times New Roman" w:cs="Times New Roman"/>
          <w:sz w:val="24"/>
          <w:szCs w:val="24"/>
          <w:lang w:val="en-US"/>
        </w:rPr>
        <w:t xml:space="preserve"> are still in p</w:t>
      </w:r>
      <w:r w:rsidRPr="008210C1">
        <w:rPr>
          <w:rFonts w:ascii="Times New Roman" w:hAnsi="Times New Roman" w:cs="Times New Roman"/>
          <w:sz w:val="24"/>
          <w:szCs w:val="24"/>
          <w:lang w:val="en-US"/>
        </w:rPr>
        <w:t>lace,</w:t>
      </w:r>
      <w:r w:rsidR="00671211"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 xml:space="preserve">and </w:t>
      </w:r>
      <w:r w:rsidR="00671211" w:rsidRPr="008210C1">
        <w:rPr>
          <w:rFonts w:ascii="Times New Roman" w:hAnsi="Times New Roman" w:cs="Times New Roman"/>
          <w:sz w:val="24"/>
          <w:szCs w:val="24"/>
          <w:lang w:val="en-US"/>
        </w:rPr>
        <w:t xml:space="preserve">diverse from </w:t>
      </w:r>
      <w:r w:rsidR="00671211" w:rsidRPr="008210C1">
        <w:rPr>
          <w:rFonts w:ascii="Times New Roman" w:hAnsi="Times New Roman" w:cs="Times New Roman"/>
          <w:sz w:val="24"/>
          <w:szCs w:val="24"/>
          <w:lang w:val="en-US"/>
        </w:rPr>
        <w:lastRenderedPageBreak/>
        <w:t>Keynes</w:t>
      </w:r>
      <w:r w:rsidRPr="008210C1">
        <w:rPr>
          <w:rFonts w:ascii="Times New Roman" w:hAnsi="Times New Roman" w:cs="Times New Roman"/>
          <w:sz w:val="24"/>
          <w:szCs w:val="24"/>
          <w:lang w:val="en-US"/>
        </w:rPr>
        <w:t>ian economics</w:t>
      </w:r>
      <w:r w:rsidR="00671211" w:rsidRPr="008210C1">
        <w:rPr>
          <w:rFonts w:ascii="Times New Roman" w:hAnsi="Times New Roman" w:cs="Times New Roman"/>
          <w:sz w:val="24"/>
          <w:szCs w:val="24"/>
          <w:lang w:val="en-US"/>
        </w:rPr>
        <w:t xml:space="preserve">, we would agree </w:t>
      </w:r>
      <w:r w:rsidRPr="008210C1">
        <w:rPr>
          <w:rFonts w:ascii="Times New Roman" w:hAnsi="Times New Roman" w:cs="Times New Roman"/>
          <w:sz w:val="24"/>
          <w:szCs w:val="24"/>
          <w:lang w:val="en-US"/>
        </w:rPr>
        <w:t>with the</w:t>
      </w:r>
      <w:r w:rsidR="004F54A6" w:rsidRPr="008210C1">
        <w:rPr>
          <w:rFonts w:ascii="Times New Roman" w:hAnsi="Times New Roman" w:cs="Times New Roman"/>
          <w:sz w:val="24"/>
          <w:szCs w:val="24"/>
          <w:lang w:val="en-US"/>
        </w:rPr>
        <w:t xml:space="preserve"> </w:t>
      </w:r>
      <w:r w:rsidR="00EE4404" w:rsidRPr="008210C1">
        <w:rPr>
          <w:rFonts w:ascii="Times New Roman" w:hAnsi="Times New Roman" w:cs="Times New Roman"/>
          <w:sz w:val="24"/>
          <w:szCs w:val="24"/>
          <w:lang w:val="en-US"/>
        </w:rPr>
        <w:t xml:space="preserve">conventional view </w:t>
      </w:r>
      <w:r w:rsidR="004F54A6" w:rsidRPr="008210C1">
        <w:rPr>
          <w:rFonts w:ascii="Times New Roman" w:hAnsi="Times New Roman" w:cs="Times New Roman"/>
          <w:sz w:val="24"/>
          <w:szCs w:val="24"/>
          <w:lang w:val="en-US"/>
        </w:rPr>
        <w:t xml:space="preserve">that no </w:t>
      </w:r>
      <w:r w:rsidR="00671211" w:rsidRPr="008210C1">
        <w:rPr>
          <w:rFonts w:ascii="Times New Roman" w:hAnsi="Times New Roman" w:cs="Times New Roman"/>
          <w:sz w:val="24"/>
          <w:szCs w:val="24"/>
          <w:lang w:val="en-US"/>
        </w:rPr>
        <w:t>great economic possibilities for our grandchild</w:t>
      </w:r>
      <w:r w:rsidR="004F54A6" w:rsidRPr="008210C1">
        <w:rPr>
          <w:rFonts w:ascii="Times New Roman" w:hAnsi="Times New Roman" w:cs="Times New Roman"/>
          <w:sz w:val="24"/>
          <w:szCs w:val="24"/>
          <w:lang w:val="en-US"/>
        </w:rPr>
        <w:t xml:space="preserve"> are in place</w:t>
      </w:r>
      <w:r w:rsidR="00671211" w:rsidRPr="008210C1">
        <w:rPr>
          <w:rFonts w:ascii="Times New Roman" w:hAnsi="Times New Roman" w:cs="Times New Roman"/>
          <w:sz w:val="24"/>
          <w:szCs w:val="24"/>
          <w:lang w:val="en-US"/>
        </w:rPr>
        <w:t>.</w:t>
      </w:r>
    </w:p>
    <w:p w:rsidR="00300A59" w:rsidRPr="008210C1" w:rsidRDefault="00300A59" w:rsidP="008210C1">
      <w:pPr>
        <w:spacing w:after="0" w:line="240" w:lineRule="auto"/>
        <w:jc w:val="both"/>
        <w:rPr>
          <w:rFonts w:ascii="Times New Roman" w:hAnsi="Times New Roman" w:cs="Times New Roman"/>
          <w:b/>
          <w:sz w:val="24"/>
          <w:szCs w:val="24"/>
          <w:lang w:val="en-US"/>
        </w:rPr>
      </w:pPr>
    </w:p>
    <w:p w:rsidR="00EE4404" w:rsidRPr="008210C1" w:rsidRDefault="00EE4404" w:rsidP="008210C1">
      <w:pPr>
        <w:spacing w:after="0" w:line="240" w:lineRule="auto"/>
        <w:jc w:val="both"/>
        <w:rPr>
          <w:rFonts w:ascii="Times New Roman" w:hAnsi="Times New Roman" w:cs="Times New Roman"/>
          <w:b/>
          <w:sz w:val="24"/>
          <w:szCs w:val="24"/>
          <w:lang w:val="en-US"/>
        </w:rPr>
      </w:pPr>
    </w:p>
    <w:p w:rsidR="00EE4404" w:rsidRPr="008210C1" w:rsidRDefault="00EE4404" w:rsidP="008210C1">
      <w:pPr>
        <w:spacing w:after="0" w:line="240" w:lineRule="auto"/>
        <w:jc w:val="both"/>
        <w:rPr>
          <w:rFonts w:ascii="Times New Roman" w:hAnsi="Times New Roman" w:cs="Times New Roman"/>
          <w:b/>
          <w:sz w:val="24"/>
          <w:szCs w:val="24"/>
          <w:lang w:val="en-US"/>
        </w:rPr>
      </w:pPr>
    </w:p>
    <w:p w:rsidR="007E5B6A" w:rsidRPr="008210C1" w:rsidRDefault="00F47B43"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b/>
          <w:sz w:val="24"/>
          <w:szCs w:val="24"/>
          <w:lang w:val="en-US"/>
        </w:rPr>
        <w:t>References</w:t>
      </w:r>
    </w:p>
    <w:p w:rsidR="00F47B43" w:rsidRPr="008210C1" w:rsidRDefault="007E5B6A" w:rsidP="008210C1">
      <w:pPr>
        <w:spacing w:after="0" w:line="240" w:lineRule="auto"/>
        <w:jc w:val="both"/>
        <w:rPr>
          <w:rFonts w:ascii="Times New Roman" w:hAnsi="Times New Roman" w:cs="Times New Roman"/>
          <w:sz w:val="24"/>
          <w:szCs w:val="24"/>
          <w:lang w:val="en-US"/>
        </w:rPr>
      </w:pPr>
      <w:proofErr w:type="spellStart"/>
      <w:r w:rsidRPr="008210C1">
        <w:rPr>
          <w:rFonts w:ascii="Times New Roman" w:hAnsi="Times New Roman" w:cs="Times New Roman"/>
          <w:sz w:val="24"/>
          <w:szCs w:val="24"/>
          <w:lang w:val="en-US"/>
        </w:rPr>
        <w:t>Arestis</w:t>
      </w:r>
      <w:proofErr w:type="spellEnd"/>
      <w:r w:rsidRPr="008210C1">
        <w:rPr>
          <w:rFonts w:ascii="Times New Roman" w:hAnsi="Times New Roman" w:cs="Times New Roman"/>
          <w:sz w:val="24"/>
          <w:szCs w:val="24"/>
          <w:lang w:val="en-US"/>
        </w:rPr>
        <w:t xml:space="preserve">, P. and Terra, F.H.B. (2015), “Economic Policies to Improve the Current State of the Brazilian Economy”, </w:t>
      </w:r>
      <w:r w:rsidRPr="008210C1">
        <w:rPr>
          <w:rFonts w:ascii="Times New Roman" w:hAnsi="Times New Roman" w:cs="Times New Roman"/>
          <w:i/>
          <w:sz w:val="24"/>
          <w:szCs w:val="24"/>
          <w:lang w:val="en-US"/>
        </w:rPr>
        <w:t>Challenge Magazine</w:t>
      </w:r>
      <w:r w:rsidRPr="008210C1">
        <w:rPr>
          <w:rFonts w:ascii="Times New Roman" w:hAnsi="Times New Roman" w:cs="Times New Roman"/>
          <w:sz w:val="24"/>
          <w:szCs w:val="24"/>
          <w:lang w:val="en-US"/>
        </w:rPr>
        <w:t>, 58(6), pp. 532-549.</w:t>
      </w:r>
    </w:p>
    <w:p w:rsidR="00F47B43" w:rsidRPr="008210C1" w:rsidRDefault="00A17606" w:rsidP="008210C1">
      <w:pPr>
        <w:spacing w:after="0" w:line="240" w:lineRule="auto"/>
        <w:jc w:val="both"/>
        <w:rPr>
          <w:rFonts w:ascii="Times New Roman" w:hAnsi="Times New Roman" w:cs="Times New Roman"/>
          <w:sz w:val="24"/>
          <w:szCs w:val="24"/>
          <w:lang w:val="en-US"/>
        </w:rPr>
      </w:pPr>
      <w:proofErr w:type="spellStart"/>
      <w:r w:rsidRPr="008210C1">
        <w:rPr>
          <w:rFonts w:ascii="Times New Roman" w:hAnsi="Times New Roman" w:cs="Times New Roman"/>
          <w:sz w:val="24"/>
          <w:szCs w:val="24"/>
        </w:rPr>
        <w:t>Arestis</w:t>
      </w:r>
      <w:proofErr w:type="spellEnd"/>
      <w:r w:rsidRPr="008210C1">
        <w:rPr>
          <w:rFonts w:ascii="Times New Roman" w:hAnsi="Times New Roman" w:cs="Times New Roman"/>
          <w:sz w:val="24"/>
          <w:szCs w:val="24"/>
        </w:rPr>
        <w:t xml:space="preserve">, P., Ferrari-Filho, F. </w:t>
      </w:r>
      <w:proofErr w:type="spellStart"/>
      <w:r w:rsidRPr="008210C1">
        <w:rPr>
          <w:rFonts w:ascii="Times New Roman" w:hAnsi="Times New Roman" w:cs="Times New Roman"/>
          <w:sz w:val="24"/>
          <w:szCs w:val="24"/>
        </w:rPr>
        <w:t>and</w:t>
      </w:r>
      <w:proofErr w:type="spellEnd"/>
      <w:r w:rsidRPr="008210C1">
        <w:rPr>
          <w:rFonts w:ascii="Times New Roman" w:hAnsi="Times New Roman" w:cs="Times New Roman"/>
          <w:sz w:val="24"/>
          <w:szCs w:val="24"/>
        </w:rPr>
        <w:t xml:space="preserve"> Terra, F.H.B. (2016), “Post </w:t>
      </w:r>
      <w:proofErr w:type="spellStart"/>
      <w:r w:rsidRPr="008210C1">
        <w:rPr>
          <w:rFonts w:ascii="Times New Roman" w:hAnsi="Times New Roman" w:cs="Times New Roman"/>
          <w:sz w:val="24"/>
          <w:szCs w:val="24"/>
        </w:rPr>
        <w:t>Keynesian</w:t>
      </w:r>
      <w:proofErr w:type="spellEnd"/>
      <w:r w:rsidRPr="008210C1">
        <w:rPr>
          <w:rFonts w:ascii="Times New Roman" w:hAnsi="Times New Roman" w:cs="Times New Roman"/>
          <w:sz w:val="24"/>
          <w:szCs w:val="24"/>
        </w:rPr>
        <w:t xml:space="preserve"> </w:t>
      </w:r>
      <w:proofErr w:type="spellStart"/>
      <w:r w:rsidRPr="008210C1">
        <w:rPr>
          <w:rFonts w:ascii="Times New Roman" w:hAnsi="Times New Roman" w:cs="Times New Roman"/>
          <w:sz w:val="24"/>
          <w:szCs w:val="24"/>
        </w:rPr>
        <w:t>Macroeconomic</w:t>
      </w:r>
      <w:proofErr w:type="spellEnd"/>
      <w:r w:rsidRPr="008210C1">
        <w:rPr>
          <w:rFonts w:ascii="Times New Roman" w:hAnsi="Times New Roman" w:cs="Times New Roman"/>
          <w:sz w:val="24"/>
          <w:szCs w:val="24"/>
        </w:rPr>
        <w:t xml:space="preserve"> Regime </w:t>
      </w:r>
      <w:proofErr w:type="spellStart"/>
      <w:r w:rsidRPr="008210C1">
        <w:rPr>
          <w:rFonts w:ascii="Times New Roman" w:hAnsi="Times New Roman" w:cs="Times New Roman"/>
          <w:sz w:val="24"/>
          <w:szCs w:val="24"/>
        </w:rPr>
        <w:t>Policy</w:t>
      </w:r>
      <w:proofErr w:type="spellEnd"/>
      <w:r w:rsidRPr="008210C1">
        <w:rPr>
          <w:rFonts w:ascii="Times New Roman" w:hAnsi="Times New Roman" w:cs="Times New Roman"/>
          <w:sz w:val="24"/>
          <w:szCs w:val="24"/>
        </w:rPr>
        <w:t xml:space="preserve">”, in F. </w:t>
      </w:r>
      <w:r w:rsidR="00F47B43" w:rsidRPr="008210C1">
        <w:rPr>
          <w:rFonts w:ascii="Times New Roman" w:hAnsi="Times New Roman" w:cs="Times New Roman"/>
          <w:sz w:val="24"/>
          <w:szCs w:val="24"/>
        </w:rPr>
        <w:t xml:space="preserve">Ferrari Filho, </w:t>
      </w:r>
      <w:proofErr w:type="spellStart"/>
      <w:r w:rsidR="00F47B43" w:rsidRPr="008210C1">
        <w:rPr>
          <w:rFonts w:ascii="Times New Roman" w:hAnsi="Times New Roman" w:cs="Times New Roman"/>
          <w:sz w:val="24"/>
          <w:szCs w:val="24"/>
        </w:rPr>
        <w:t>and</w:t>
      </w:r>
      <w:proofErr w:type="spellEnd"/>
      <w:r w:rsidR="00F47B43" w:rsidRPr="008210C1">
        <w:rPr>
          <w:rFonts w:ascii="Times New Roman" w:hAnsi="Times New Roman" w:cs="Times New Roman"/>
          <w:sz w:val="24"/>
          <w:szCs w:val="24"/>
        </w:rPr>
        <w:t xml:space="preserve"> F.H.B. Terra (eds.), </w:t>
      </w:r>
      <w:r w:rsidR="00F47B43" w:rsidRPr="008210C1">
        <w:rPr>
          <w:rFonts w:ascii="Times New Roman" w:hAnsi="Times New Roman" w:cs="Times New Roman"/>
          <w:i/>
          <w:sz w:val="24"/>
          <w:szCs w:val="24"/>
        </w:rPr>
        <w:t>Keynes: Ensaios sobre os 80 Anos da Teoria Geral</w:t>
      </w:r>
      <w:r w:rsidR="00F47B43" w:rsidRPr="008210C1">
        <w:rPr>
          <w:rFonts w:ascii="Times New Roman" w:hAnsi="Times New Roman" w:cs="Times New Roman"/>
          <w:sz w:val="24"/>
          <w:szCs w:val="24"/>
        </w:rPr>
        <w:t xml:space="preserve">. </w:t>
      </w:r>
      <w:r w:rsidR="00F47B43" w:rsidRPr="008210C1">
        <w:rPr>
          <w:rFonts w:ascii="Times New Roman" w:hAnsi="Times New Roman" w:cs="Times New Roman"/>
          <w:sz w:val="24"/>
          <w:szCs w:val="24"/>
          <w:lang w:val="en-US"/>
        </w:rPr>
        <w:t xml:space="preserve">Porto Alegre, Brazil: </w:t>
      </w:r>
      <w:proofErr w:type="spellStart"/>
      <w:r w:rsidR="00F47B43" w:rsidRPr="008210C1">
        <w:rPr>
          <w:rFonts w:ascii="Times New Roman" w:hAnsi="Times New Roman" w:cs="Times New Roman"/>
          <w:sz w:val="24"/>
          <w:szCs w:val="24"/>
          <w:lang w:val="en-US"/>
        </w:rPr>
        <w:t>Tomo</w:t>
      </w:r>
      <w:proofErr w:type="spellEnd"/>
      <w:r w:rsidR="00F47B43" w:rsidRPr="008210C1">
        <w:rPr>
          <w:rFonts w:ascii="Times New Roman" w:hAnsi="Times New Roman" w:cs="Times New Roman"/>
          <w:sz w:val="24"/>
          <w:szCs w:val="24"/>
          <w:lang w:val="en-US"/>
        </w:rPr>
        <w:t>.</w:t>
      </w:r>
    </w:p>
    <w:p w:rsidR="00F47B43" w:rsidRPr="008210C1" w:rsidRDefault="00F47B43" w:rsidP="008210C1">
      <w:pPr>
        <w:spacing w:after="0" w:line="240" w:lineRule="auto"/>
        <w:jc w:val="both"/>
        <w:rPr>
          <w:rFonts w:ascii="Times New Roman" w:hAnsi="Times New Roman" w:cs="Times New Roman"/>
          <w:sz w:val="24"/>
          <w:szCs w:val="24"/>
          <w:lang w:val="en-US"/>
        </w:rPr>
      </w:pPr>
      <w:proofErr w:type="spellStart"/>
      <w:r w:rsidRPr="008210C1">
        <w:rPr>
          <w:rFonts w:ascii="Times New Roman" w:hAnsi="Times New Roman" w:cs="Times New Roman"/>
          <w:sz w:val="24"/>
          <w:szCs w:val="24"/>
          <w:lang w:val="en-US"/>
        </w:rPr>
        <w:t>Aschauer</w:t>
      </w:r>
      <w:proofErr w:type="spellEnd"/>
      <w:r w:rsidRPr="008210C1">
        <w:rPr>
          <w:rFonts w:ascii="Times New Roman" w:hAnsi="Times New Roman" w:cs="Times New Roman"/>
          <w:sz w:val="24"/>
          <w:szCs w:val="24"/>
          <w:lang w:val="en-US"/>
        </w:rPr>
        <w:t xml:space="preserve">, D.A. (1989), “Is public expenditure productive?”, </w:t>
      </w:r>
      <w:r w:rsidRPr="008210C1">
        <w:rPr>
          <w:rFonts w:ascii="Times New Roman" w:hAnsi="Times New Roman" w:cs="Times New Roman"/>
          <w:i/>
          <w:sz w:val="24"/>
          <w:szCs w:val="24"/>
          <w:lang w:val="en-US"/>
        </w:rPr>
        <w:t>Journal of Monetary Economics</w:t>
      </w:r>
      <w:r w:rsidRPr="008210C1">
        <w:rPr>
          <w:rFonts w:ascii="Times New Roman" w:hAnsi="Times New Roman" w:cs="Times New Roman"/>
          <w:sz w:val="24"/>
          <w:szCs w:val="24"/>
          <w:lang w:val="en-US"/>
        </w:rPr>
        <w:t xml:space="preserve">, 23, pp. </w:t>
      </w:r>
      <w:r w:rsidR="00933F49" w:rsidRPr="008210C1">
        <w:rPr>
          <w:rFonts w:ascii="Times New Roman" w:hAnsi="Times New Roman" w:cs="Times New Roman"/>
          <w:sz w:val="24"/>
          <w:szCs w:val="24"/>
          <w:lang w:val="en-US"/>
        </w:rPr>
        <w:t>177-200</w:t>
      </w:r>
      <w:r w:rsidRPr="008210C1">
        <w:rPr>
          <w:rFonts w:ascii="Times New Roman" w:hAnsi="Times New Roman" w:cs="Times New Roman"/>
          <w:sz w:val="24"/>
          <w:szCs w:val="24"/>
          <w:lang w:val="en-US"/>
        </w:rPr>
        <w:t>.</w:t>
      </w:r>
    </w:p>
    <w:p w:rsidR="00F47B43" w:rsidRPr="008210C1" w:rsidRDefault="00A17606"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rPr>
        <w:t xml:space="preserve">Banco Central Do Brasil (BCB) (2007), </w:t>
      </w:r>
      <w:r w:rsidR="00F47B43" w:rsidRPr="008210C1">
        <w:rPr>
          <w:rFonts w:ascii="Times New Roman" w:hAnsi="Times New Roman" w:cs="Times New Roman"/>
          <w:i/>
          <w:sz w:val="24"/>
          <w:szCs w:val="24"/>
        </w:rPr>
        <w:t>Séries Temporais do Banco Central do Brasil</w:t>
      </w:r>
      <w:r w:rsidR="00F47B43" w:rsidRPr="008210C1">
        <w:rPr>
          <w:rFonts w:ascii="Times New Roman" w:hAnsi="Times New Roman" w:cs="Times New Roman"/>
          <w:sz w:val="24"/>
          <w:szCs w:val="24"/>
        </w:rPr>
        <w:t xml:space="preserve">. </w:t>
      </w:r>
      <w:r w:rsidRPr="008210C1">
        <w:rPr>
          <w:rFonts w:ascii="Times New Roman" w:hAnsi="Times New Roman" w:cs="Times New Roman"/>
          <w:sz w:val="24"/>
          <w:szCs w:val="24"/>
          <w:lang w:val="en-US"/>
        </w:rPr>
        <w:t xml:space="preserve">BCB </w:t>
      </w:r>
      <w:r w:rsidR="00F47B43" w:rsidRPr="008210C1">
        <w:rPr>
          <w:rFonts w:ascii="Times New Roman" w:hAnsi="Times New Roman" w:cs="Times New Roman"/>
          <w:sz w:val="24"/>
          <w:szCs w:val="24"/>
          <w:lang w:val="en-US"/>
        </w:rPr>
        <w:t xml:space="preserve">Brasília, Brazil. Available at: </w:t>
      </w:r>
      <w:hyperlink r:id="rId10" w:anchor="!/n/SERIESTEMPORAIS" w:history="1">
        <w:r w:rsidR="00F47B43" w:rsidRPr="008210C1">
          <w:rPr>
            <w:rStyle w:val="Hyperlink"/>
            <w:rFonts w:ascii="Times New Roman" w:hAnsi="Times New Roman" w:cs="Times New Roman"/>
            <w:sz w:val="24"/>
            <w:szCs w:val="24"/>
            <w:lang w:val="en-US"/>
          </w:rPr>
          <w:t>http://www.bcb.gov.br/pt-br/#!/n/SERIESTEMPORAIS</w:t>
        </w:r>
      </w:hyperlink>
    </w:p>
    <w:p w:rsidR="00F47B43" w:rsidRPr="008210C1" w:rsidRDefault="00F47B43" w:rsidP="008210C1">
      <w:pPr>
        <w:spacing w:after="0" w:line="240" w:lineRule="auto"/>
        <w:jc w:val="both"/>
        <w:rPr>
          <w:rFonts w:ascii="Times New Roman" w:hAnsi="Times New Roman" w:cs="Times New Roman"/>
          <w:sz w:val="24"/>
          <w:szCs w:val="24"/>
          <w:lang w:val="en-US"/>
        </w:rPr>
      </w:pPr>
      <w:proofErr w:type="spellStart"/>
      <w:r w:rsidRPr="008210C1">
        <w:rPr>
          <w:rFonts w:ascii="Times New Roman" w:hAnsi="Times New Roman" w:cs="Times New Roman"/>
          <w:sz w:val="24"/>
          <w:szCs w:val="24"/>
          <w:lang w:val="en-US"/>
        </w:rPr>
        <w:t>Bresser-pereira</w:t>
      </w:r>
      <w:proofErr w:type="spellEnd"/>
      <w:r w:rsidRPr="008210C1">
        <w:rPr>
          <w:rFonts w:ascii="Times New Roman" w:hAnsi="Times New Roman" w:cs="Times New Roman"/>
          <w:sz w:val="24"/>
          <w:szCs w:val="24"/>
          <w:lang w:val="en-US"/>
        </w:rPr>
        <w:t xml:space="preserve">, L.C., </w:t>
      </w:r>
      <w:proofErr w:type="spellStart"/>
      <w:r w:rsidRPr="008210C1">
        <w:rPr>
          <w:rFonts w:ascii="Times New Roman" w:hAnsi="Times New Roman" w:cs="Times New Roman"/>
          <w:sz w:val="24"/>
          <w:szCs w:val="24"/>
          <w:lang w:val="en-US"/>
        </w:rPr>
        <w:t>Oreiro</w:t>
      </w:r>
      <w:proofErr w:type="spellEnd"/>
      <w:r w:rsidRPr="008210C1">
        <w:rPr>
          <w:rFonts w:ascii="Times New Roman" w:hAnsi="Times New Roman" w:cs="Times New Roman"/>
          <w:sz w:val="24"/>
          <w:szCs w:val="24"/>
          <w:lang w:val="en-US"/>
        </w:rPr>
        <w:t xml:space="preserve">, J.L. and Marconi, N. (2015), </w:t>
      </w:r>
      <w:r w:rsidRPr="008210C1">
        <w:rPr>
          <w:rFonts w:ascii="Times New Roman" w:hAnsi="Times New Roman" w:cs="Times New Roman"/>
          <w:i/>
          <w:sz w:val="24"/>
          <w:szCs w:val="24"/>
          <w:lang w:val="en-US"/>
        </w:rPr>
        <w:t>Developmental Macroeconomics</w:t>
      </w:r>
      <w:r w:rsidRPr="008210C1">
        <w:rPr>
          <w:rFonts w:ascii="Times New Roman" w:hAnsi="Times New Roman" w:cs="Times New Roman"/>
          <w:sz w:val="24"/>
          <w:szCs w:val="24"/>
          <w:lang w:val="en-US"/>
        </w:rPr>
        <w:t>. London, UK: Routledge.</w:t>
      </w:r>
    </w:p>
    <w:p w:rsidR="00F47B43" w:rsidRPr="008210C1" w:rsidRDefault="00F47B43"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Calderón, C. and </w:t>
      </w:r>
      <w:proofErr w:type="spellStart"/>
      <w:r w:rsidRPr="008210C1">
        <w:rPr>
          <w:rFonts w:ascii="Times New Roman" w:hAnsi="Times New Roman" w:cs="Times New Roman"/>
          <w:sz w:val="24"/>
          <w:szCs w:val="24"/>
          <w:lang w:val="en-US"/>
        </w:rPr>
        <w:t>Servén</w:t>
      </w:r>
      <w:proofErr w:type="spellEnd"/>
      <w:r w:rsidRPr="008210C1">
        <w:rPr>
          <w:rFonts w:ascii="Times New Roman" w:hAnsi="Times New Roman" w:cs="Times New Roman"/>
          <w:sz w:val="24"/>
          <w:szCs w:val="24"/>
          <w:lang w:val="en-US"/>
        </w:rPr>
        <w:t xml:space="preserve">, L. (2002), “The output cost of Latin America’s infrastructure gap”, </w:t>
      </w:r>
      <w:r w:rsidRPr="008210C1">
        <w:rPr>
          <w:rFonts w:ascii="Times New Roman" w:hAnsi="Times New Roman" w:cs="Times New Roman"/>
          <w:i/>
          <w:sz w:val="24"/>
          <w:szCs w:val="24"/>
          <w:lang w:val="en-US"/>
        </w:rPr>
        <w:t>Working Paper No. 186</w:t>
      </w:r>
      <w:r w:rsidRPr="008210C1">
        <w:rPr>
          <w:rFonts w:ascii="Times New Roman" w:hAnsi="Times New Roman" w:cs="Times New Roman"/>
          <w:sz w:val="24"/>
          <w:szCs w:val="24"/>
          <w:lang w:val="en-US"/>
        </w:rPr>
        <w:t>, Santiago, Chile: Central Bank of Chile.</w:t>
      </w:r>
    </w:p>
    <w:p w:rsidR="00F47B43" w:rsidRPr="008210C1" w:rsidRDefault="00F47B43"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Calderón, C. and </w:t>
      </w:r>
      <w:proofErr w:type="spellStart"/>
      <w:r w:rsidRPr="008210C1">
        <w:rPr>
          <w:rFonts w:ascii="Times New Roman" w:hAnsi="Times New Roman" w:cs="Times New Roman"/>
          <w:sz w:val="24"/>
          <w:szCs w:val="24"/>
          <w:lang w:val="en-US"/>
        </w:rPr>
        <w:t>Servén</w:t>
      </w:r>
      <w:proofErr w:type="spellEnd"/>
      <w:r w:rsidRPr="008210C1">
        <w:rPr>
          <w:rFonts w:ascii="Times New Roman" w:hAnsi="Times New Roman" w:cs="Times New Roman"/>
          <w:sz w:val="24"/>
          <w:szCs w:val="24"/>
          <w:lang w:val="en-US"/>
        </w:rPr>
        <w:t>, L. (2004), “The effects of infrastructure development on growth and income distribution”, Working Paper No. 270, Santiago: Chile: Central Bank of Chile.</w:t>
      </w:r>
    </w:p>
    <w:p w:rsidR="00F47B43" w:rsidRPr="008210C1" w:rsidRDefault="00F47B43" w:rsidP="008210C1">
      <w:pPr>
        <w:spacing w:after="0" w:line="240" w:lineRule="auto"/>
        <w:jc w:val="both"/>
        <w:rPr>
          <w:rFonts w:ascii="Times New Roman" w:hAnsi="Times New Roman" w:cs="Times New Roman"/>
          <w:sz w:val="24"/>
          <w:szCs w:val="24"/>
        </w:rPr>
      </w:pPr>
      <w:r w:rsidRPr="008210C1">
        <w:rPr>
          <w:rFonts w:ascii="Times New Roman" w:hAnsi="Times New Roman" w:cs="Times New Roman"/>
          <w:sz w:val="24"/>
          <w:szCs w:val="24"/>
          <w:lang w:val="en-US"/>
        </w:rPr>
        <w:t xml:space="preserve">Carvalho, F. J. C. (1992), </w:t>
      </w:r>
      <w:proofErr w:type="spellStart"/>
      <w:r w:rsidRPr="008210C1">
        <w:rPr>
          <w:rFonts w:ascii="Times New Roman" w:hAnsi="Times New Roman" w:cs="Times New Roman"/>
          <w:i/>
          <w:sz w:val="24"/>
          <w:szCs w:val="24"/>
          <w:lang w:val="en-US"/>
        </w:rPr>
        <w:t>Mr</w:t>
      </w:r>
      <w:proofErr w:type="spellEnd"/>
      <w:r w:rsidRPr="008210C1">
        <w:rPr>
          <w:rFonts w:ascii="Times New Roman" w:hAnsi="Times New Roman" w:cs="Times New Roman"/>
          <w:i/>
          <w:sz w:val="24"/>
          <w:szCs w:val="24"/>
          <w:lang w:val="en-US"/>
        </w:rPr>
        <w:t xml:space="preserve"> Keynes and the Post Keynesians</w:t>
      </w:r>
      <w:r w:rsidRPr="008210C1">
        <w:rPr>
          <w:rFonts w:ascii="Times New Roman" w:hAnsi="Times New Roman" w:cs="Times New Roman"/>
          <w:sz w:val="24"/>
          <w:szCs w:val="24"/>
          <w:lang w:val="en-US"/>
        </w:rPr>
        <w:t xml:space="preserve">. </w:t>
      </w:r>
      <w:proofErr w:type="spellStart"/>
      <w:r w:rsidRPr="008210C1">
        <w:rPr>
          <w:rFonts w:ascii="Times New Roman" w:hAnsi="Times New Roman" w:cs="Times New Roman"/>
          <w:sz w:val="24"/>
          <w:szCs w:val="24"/>
        </w:rPr>
        <w:t>Aldershot</w:t>
      </w:r>
      <w:proofErr w:type="spellEnd"/>
      <w:r w:rsidRPr="008210C1">
        <w:rPr>
          <w:rFonts w:ascii="Times New Roman" w:hAnsi="Times New Roman" w:cs="Times New Roman"/>
          <w:sz w:val="24"/>
          <w:szCs w:val="24"/>
        </w:rPr>
        <w:t xml:space="preserve">, UK: Edward </w:t>
      </w:r>
      <w:proofErr w:type="spellStart"/>
      <w:r w:rsidRPr="008210C1">
        <w:rPr>
          <w:rFonts w:ascii="Times New Roman" w:hAnsi="Times New Roman" w:cs="Times New Roman"/>
          <w:sz w:val="24"/>
          <w:szCs w:val="24"/>
        </w:rPr>
        <w:t>Elgar</w:t>
      </w:r>
      <w:proofErr w:type="spellEnd"/>
      <w:r w:rsidRPr="008210C1">
        <w:rPr>
          <w:rFonts w:ascii="Times New Roman" w:hAnsi="Times New Roman" w:cs="Times New Roman"/>
          <w:sz w:val="24"/>
          <w:szCs w:val="24"/>
        </w:rPr>
        <w:t xml:space="preserve">. </w:t>
      </w:r>
    </w:p>
    <w:p w:rsidR="00F47B43" w:rsidRPr="008210C1" w:rsidRDefault="00A17606"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rPr>
        <w:t xml:space="preserve">Carvalho, F. J. C. (2014), </w:t>
      </w:r>
      <w:r w:rsidR="00F47B43" w:rsidRPr="008210C1">
        <w:rPr>
          <w:rFonts w:ascii="Times New Roman" w:hAnsi="Times New Roman" w:cs="Times New Roman"/>
          <w:i/>
          <w:sz w:val="24"/>
          <w:szCs w:val="24"/>
        </w:rPr>
        <w:t>Expectativas, Incerteza e convenções</w:t>
      </w:r>
      <w:r w:rsidR="00F47B43" w:rsidRPr="008210C1">
        <w:rPr>
          <w:rFonts w:ascii="Times New Roman" w:hAnsi="Times New Roman" w:cs="Times New Roman"/>
          <w:sz w:val="24"/>
          <w:szCs w:val="24"/>
        </w:rPr>
        <w:t xml:space="preserve">. </w:t>
      </w:r>
      <w:r w:rsidR="00F47B43" w:rsidRPr="008210C1">
        <w:rPr>
          <w:rFonts w:ascii="Times New Roman" w:hAnsi="Times New Roman" w:cs="Times New Roman"/>
          <w:sz w:val="24"/>
          <w:szCs w:val="24"/>
          <w:lang w:val="en-US"/>
        </w:rPr>
        <w:t>BNDES-</w:t>
      </w:r>
      <w:proofErr w:type="spellStart"/>
      <w:r w:rsidR="00F47B43" w:rsidRPr="008210C1">
        <w:rPr>
          <w:rFonts w:ascii="Times New Roman" w:hAnsi="Times New Roman" w:cs="Times New Roman"/>
          <w:sz w:val="24"/>
          <w:szCs w:val="24"/>
          <w:lang w:val="en-US"/>
        </w:rPr>
        <w:t>Biblioteca</w:t>
      </w:r>
      <w:proofErr w:type="spellEnd"/>
      <w:r w:rsidR="00F47B43" w:rsidRPr="008210C1">
        <w:rPr>
          <w:rFonts w:ascii="Times New Roman" w:hAnsi="Times New Roman" w:cs="Times New Roman"/>
          <w:sz w:val="24"/>
          <w:szCs w:val="24"/>
          <w:lang w:val="en-US"/>
        </w:rPr>
        <w:t xml:space="preserve"> Digital.</w:t>
      </w:r>
    </w:p>
    <w:p w:rsidR="00F47B43" w:rsidRPr="008210C1" w:rsidRDefault="00F47B43"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Carvalho, F. J. C. (2015), “Keynes on Expectations, Uncertainty and Defensive Behavior”. </w:t>
      </w:r>
      <w:r w:rsidRPr="008210C1">
        <w:rPr>
          <w:rFonts w:ascii="Times New Roman" w:hAnsi="Times New Roman" w:cs="Times New Roman"/>
          <w:i/>
          <w:sz w:val="24"/>
          <w:szCs w:val="24"/>
          <w:lang w:val="en-US"/>
        </w:rPr>
        <w:t>Brazilian Keynesian Review</w:t>
      </w:r>
      <w:r w:rsidRPr="008210C1">
        <w:rPr>
          <w:rFonts w:ascii="Times New Roman" w:hAnsi="Times New Roman" w:cs="Times New Roman"/>
          <w:sz w:val="24"/>
          <w:szCs w:val="24"/>
          <w:lang w:val="en-US"/>
        </w:rPr>
        <w:t xml:space="preserve">, 1(1), pp. </w:t>
      </w:r>
      <w:r w:rsidR="007A0177" w:rsidRPr="008210C1">
        <w:rPr>
          <w:rFonts w:ascii="Times New Roman" w:hAnsi="Times New Roman" w:cs="Times New Roman"/>
          <w:sz w:val="24"/>
          <w:szCs w:val="24"/>
          <w:lang w:val="en-US"/>
        </w:rPr>
        <w:t>44-54.</w:t>
      </w:r>
    </w:p>
    <w:p w:rsidR="00F47B43" w:rsidRPr="008210C1" w:rsidRDefault="00F47B43" w:rsidP="008210C1">
      <w:pPr>
        <w:spacing w:after="0" w:line="240" w:lineRule="auto"/>
        <w:jc w:val="both"/>
        <w:rPr>
          <w:rFonts w:ascii="Times New Roman" w:hAnsi="Times New Roman" w:cs="Times New Roman"/>
          <w:sz w:val="24"/>
          <w:szCs w:val="24"/>
        </w:rPr>
      </w:pPr>
      <w:r w:rsidRPr="008210C1">
        <w:rPr>
          <w:rFonts w:ascii="Times New Roman" w:hAnsi="Times New Roman" w:cs="Times New Roman"/>
          <w:sz w:val="24"/>
          <w:szCs w:val="24"/>
          <w:lang w:val="en-US"/>
        </w:rPr>
        <w:t>Davis, J. J. (2005), “M. Keynes on History and Convention”</w:t>
      </w:r>
      <w:r w:rsidRPr="008210C1">
        <w:rPr>
          <w:rFonts w:ascii="Times New Roman" w:hAnsi="Times New Roman" w:cs="Times New Roman"/>
          <w:i/>
          <w:sz w:val="24"/>
          <w:szCs w:val="24"/>
          <w:lang w:val="en-US"/>
        </w:rPr>
        <w:t xml:space="preserve">, </w:t>
      </w:r>
      <w:r w:rsidRPr="008210C1">
        <w:rPr>
          <w:rFonts w:ascii="Times New Roman" w:hAnsi="Times New Roman" w:cs="Times New Roman"/>
          <w:sz w:val="24"/>
          <w:szCs w:val="24"/>
          <w:lang w:val="en-US"/>
        </w:rPr>
        <w:t xml:space="preserve">in G. Harcourt and P. </w:t>
      </w:r>
      <w:proofErr w:type="spellStart"/>
      <w:r w:rsidRPr="008210C1">
        <w:rPr>
          <w:rFonts w:ascii="Times New Roman" w:hAnsi="Times New Roman" w:cs="Times New Roman"/>
          <w:sz w:val="24"/>
          <w:szCs w:val="24"/>
          <w:lang w:val="en-US"/>
        </w:rPr>
        <w:t>Riach</w:t>
      </w:r>
      <w:proofErr w:type="spellEnd"/>
      <w:r w:rsidRPr="008210C1">
        <w:rPr>
          <w:rFonts w:ascii="Times New Roman" w:hAnsi="Times New Roman" w:cs="Times New Roman"/>
          <w:sz w:val="24"/>
          <w:szCs w:val="24"/>
          <w:lang w:val="en-US"/>
        </w:rPr>
        <w:t xml:space="preserve"> (eds.), </w:t>
      </w:r>
      <w:r w:rsidRPr="008210C1">
        <w:rPr>
          <w:rFonts w:ascii="Times New Roman" w:hAnsi="Times New Roman" w:cs="Times New Roman"/>
          <w:i/>
          <w:sz w:val="24"/>
          <w:szCs w:val="24"/>
          <w:lang w:val="en-US"/>
        </w:rPr>
        <w:t>A ‘Second Edition’ of the General Theory</w:t>
      </w:r>
      <w:r w:rsidRPr="008210C1">
        <w:rPr>
          <w:rFonts w:ascii="Times New Roman" w:hAnsi="Times New Roman" w:cs="Times New Roman"/>
          <w:sz w:val="24"/>
          <w:szCs w:val="24"/>
          <w:lang w:val="en-US"/>
        </w:rPr>
        <w:t xml:space="preserve">, 2, pp. 149-162. </w:t>
      </w:r>
      <w:r w:rsidRPr="008210C1">
        <w:rPr>
          <w:rFonts w:ascii="Times New Roman" w:hAnsi="Times New Roman" w:cs="Times New Roman"/>
          <w:sz w:val="24"/>
          <w:szCs w:val="24"/>
        </w:rPr>
        <w:t xml:space="preserve">London, UK: </w:t>
      </w:r>
      <w:proofErr w:type="spellStart"/>
      <w:r w:rsidRPr="008210C1">
        <w:rPr>
          <w:rFonts w:ascii="Times New Roman" w:hAnsi="Times New Roman" w:cs="Times New Roman"/>
          <w:sz w:val="24"/>
          <w:szCs w:val="24"/>
        </w:rPr>
        <w:t>Routledge</w:t>
      </w:r>
      <w:proofErr w:type="spellEnd"/>
      <w:r w:rsidRPr="008210C1">
        <w:rPr>
          <w:rFonts w:ascii="Times New Roman" w:hAnsi="Times New Roman" w:cs="Times New Roman"/>
          <w:sz w:val="24"/>
          <w:szCs w:val="24"/>
        </w:rPr>
        <w:t>.</w:t>
      </w:r>
    </w:p>
    <w:p w:rsidR="00A926BB" w:rsidRPr="008210C1" w:rsidRDefault="00A926BB" w:rsidP="008210C1">
      <w:pPr>
        <w:spacing w:after="0" w:line="240" w:lineRule="auto"/>
        <w:rPr>
          <w:rFonts w:ascii="Times New Roman" w:hAnsi="Times New Roman" w:cs="Times New Roman"/>
          <w:sz w:val="24"/>
          <w:szCs w:val="24"/>
          <w:lang w:val="en-US"/>
        </w:rPr>
      </w:pPr>
      <w:r w:rsidRPr="008210C1">
        <w:rPr>
          <w:rFonts w:ascii="Times New Roman" w:hAnsi="Times New Roman" w:cs="Times New Roman"/>
          <w:sz w:val="24"/>
          <w:szCs w:val="24"/>
        </w:rPr>
        <w:t xml:space="preserve">De Paula, L.F. </w:t>
      </w:r>
      <w:proofErr w:type="spellStart"/>
      <w:r w:rsidRPr="008210C1">
        <w:rPr>
          <w:rFonts w:ascii="Times New Roman" w:hAnsi="Times New Roman" w:cs="Times New Roman"/>
          <w:sz w:val="24"/>
          <w:szCs w:val="24"/>
        </w:rPr>
        <w:t>and</w:t>
      </w:r>
      <w:proofErr w:type="spellEnd"/>
      <w:r w:rsidRPr="008210C1">
        <w:rPr>
          <w:rFonts w:ascii="Times New Roman" w:hAnsi="Times New Roman" w:cs="Times New Roman"/>
          <w:sz w:val="24"/>
          <w:szCs w:val="24"/>
        </w:rPr>
        <w:t xml:space="preserve"> Prates, D. (2015), </w:t>
      </w:r>
      <w:proofErr w:type="spellStart"/>
      <w:r w:rsidRPr="008210C1">
        <w:rPr>
          <w:rFonts w:ascii="Times New Roman" w:hAnsi="Times New Roman" w:cs="Times New Roman"/>
          <w:sz w:val="24"/>
          <w:szCs w:val="24"/>
        </w:rPr>
        <w:t>Cuenta</w:t>
      </w:r>
      <w:proofErr w:type="spellEnd"/>
      <w:r w:rsidRPr="008210C1">
        <w:rPr>
          <w:rFonts w:ascii="Times New Roman" w:hAnsi="Times New Roman" w:cs="Times New Roman"/>
          <w:sz w:val="24"/>
          <w:szCs w:val="24"/>
        </w:rPr>
        <w:t xml:space="preserve"> de </w:t>
      </w:r>
      <w:proofErr w:type="spellStart"/>
      <w:r w:rsidRPr="008210C1">
        <w:rPr>
          <w:rFonts w:ascii="Times New Roman" w:hAnsi="Times New Roman" w:cs="Times New Roman"/>
          <w:sz w:val="24"/>
          <w:szCs w:val="24"/>
        </w:rPr>
        <w:t>capitales</w:t>
      </w:r>
      <w:proofErr w:type="spellEnd"/>
      <w:r w:rsidRPr="008210C1">
        <w:rPr>
          <w:rFonts w:ascii="Times New Roman" w:hAnsi="Times New Roman" w:cs="Times New Roman"/>
          <w:sz w:val="24"/>
          <w:szCs w:val="24"/>
        </w:rPr>
        <w:t xml:space="preserve"> y </w:t>
      </w:r>
      <w:proofErr w:type="spellStart"/>
      <w:r w:rsidRPr="008210C1">
        <w:rPr>
          <w:rFonts w:ascii="Times New Roman" w:hAnsi="Times New Roman" w:cs="Times New Roman"/>
          <w:sz w:val="24"/>
          <w:szCs w:val="24"/>
        </w:rPr>
        <w:t>la</w:t>
      </w:r>
      <w:proofErr w:type="spellEnd"/>
      <w:r w:rsidRPr="008210C1">
        <w:rPr>
          <w:rFonts w:ascii="Times New Roman" w:hAnsi="Times New Roman" w:cs="Times New Roman"/>
          <w:sz w:val="24"/>
          <w:szCs w:val="24"/>
        </w:rPr>
        <w:t xml:space="preserve"> </w:t>
      </w:r>
      <w:proofErr w:type="spellStart"/>
      <w:r w:rsidRPr="008210C1">
        <w:rPr>
          <w:rFonts w:ascii="Times New Roman" w:hAnsi="Times New Roman" w:cs="Times New Roman"/>
          <w:sz w:val="24"/>
          <w:szCs w:val="24"/>
        </w:rPr>
        <w:t>regulación</w:t>
      </w:r>
      <w:proofErr w:type="spellEnd"/>
      <w:r w:rsidRPr="008210C1">
        <w:rPr>
          <w:rFonts w:ascii="Times New Roman" w:hAnsi="Times New Roman" w:cs="Times New Roman"/>
          <w:sz w:val="24"/>
          <w:szCs w:val="24"/>
        </w:rPr>
        <w:t xml:space="preserve"> de derivados </w:t>
      </w:r>
      <w:proofErr w:type="spellStart"/>
      <w:r w:rsidRPr="008210C1">
        <w:rPr>
          <w:rFonts w:ascii="Times New Roman" w:hAnsi="Times New Roman" w:cs="Times New Roman"/>
          <w:sz w:val="24"/>
          <w:szCs w:val="24"/>
        </w:rPr>
        <w:t>del</w:t>
      </w:r>
      <w:proofErr w:type="spellEnd"/>
      <w:r w:rsidRPr="008210C1">
        <w:rPr>
          <w:rFonts w:ascii="Times New Roman" w:hAnsi="Times New Roman" w:cs="Times New Roman"/>
          <w:sz w:val="24"/>
          <w:szCs w:val="24"/>
        </w:rPr>
        <w:t xml:space="preserve"> mercado de divisas: </w:t>
      </w:r>
      <w:proofErr w:type="spellStart"/>
      <w:r w:rsidRPr="008210C1">
        <w:rPr>
          <w:rFonts w:ascii="Times New Roman" w:hAnsi="Times New Roman" w:cs="Times New Roman"/>
          <w:sz w:val="24"/>
          <w:szCs w:val="24"/>
        </w:rPr>
        <w:t>la</w:t>
      </w:r>
      <w:proofErr w:type="spellEnd"/>
      <w:r w:rsidRPr="008210C1">
        <w:rPr>
          <w:rFonts w:ascii="Times New Roman" w:hAnsi="Times New Roman" w:cs="Times New Roman"/>
          <w:sz w:val="24"/>
          <w:szCs w:val="24"/>
        </w:rPr>
        <w:t xml:space="preserve"> experiencia </w:t>
      </w:r>
      <w:proofErr w:type="spellStart"/>
      <w:r w:rsidRPr="008210C1">
        <w:rPr>
          <w:rFonts w:ascii="Times New Roman" w:hAnsi="Times New Roman" w:cs="Times New Roman"/>
          <w:sz w:val="24"/>
          <w:szCs w:val="24"/>
        </w:rPr>
        <w:t>reciente</w:t>
      </w:r>
      <w:proofErr w:type="spellEnd"/>
      <w:r w:rsidRPr="008210C1">
        <w:rPr>
          <w:rFonts w:ascii="Times New Roman" w:hAnsi="Times New Roman" w:cs="Times New Roman"/>
          <w:sz w:val="24"/>
          <w:szCs w:val="24"/>
        </w:rPr>
        <w:t xml:space="preserve"> de Brasil. </w:t>
      </w:r>
      <w:proofErr w:type="spellStart"/>
      <w:r w:rsidRPr="008210C1">
        <w:rPr>
          <w:rFonts w:ascii="Times New Roman" w:hAnsi="Times New Roman" w:cs="Times New Roman"/>
          <w:i/>
          <w:sz w:val="24"/>
          <w:szCs w:val="24"/>
          <w:lang w:val="en-US"/>
        </w:rPr>
        <w:t>Investigación</w:t>
      </w:r>
      <w:proofErr w:type="spellEnd"/>
      <w:r w:rsidRPr="008210C1">
        <w:rPr>
          <w:rFonts w:ascii="Times New Roman" w:hAnsi="Times New Roman" w:cs="Times New Roman"/>
          <w:i/>
          <w:sz w:val="24"/>
          <w:szCs w:val="24"/>
          <w:lang w:val="en-US"/>
        </w:rPr>
        <w:t xml:space="preserve"> </w:t>
      </w:r>
      <w:proofErr w:type="spellStart"/>
      <w:r w:rsidRPr="008210C1">
        <w:rPr>
          <w:rFonts w:ascii="Times New Roman" w:hAnsi="Times New Roman" w:cs="Times New Roman"/>
          <w:i/>
          <w:sz w:val="24"/>
          <w:szCs w:val="24"/>
          <w:lang w:val="en-US"/>
        </w:rPr>
        <w:t>Económica</w:t>
      </w:r>
      <w:proofErr w:type="spellEnd"/>
      <w:r w:rsidRPr="008210C1">
        <w:rPr>
          <w:rFonts w:ascii="Times New Roman" w:hAnsi="Times New Roman" w:cs="Times New Roman"/>
          <w:sz w:val="24"/>
          <w:szCs w:val="24"/>
          <w:lang w:val="en-US"/>
        </w:rPr>
        <w:t xml:space="preserve">, </w:t>
      </w:r>
      <w:proofErr w:type="gramStart"/>
      <w:r w:rsidRPr="008210C1">
        <w:rPr>
          <w:rFonts w:ascii="Times New Roman" w:hAnsi="Times New Roman" w:cs="Times New Roman"/>
          <w:sz w:val="24"/>
          <w:szCs w:val="24"/>
          <w:lang w:val="en-US"/>
        </w:rPr>
        <w:t>LXXIV</w:t>
      </w:r>
      <w:r w:rsidR="00FA170F" w:rsidRPr="008210C1">
        <w:rPr>
          <w:rFonts w:ascii="Times New Roman" w:hAnsi="Times New Roman" w:cs="Times New Roman"/>
          <w:sz w:val="24"/>
          <w:szCs w:val="24"/>
          <w:lang w:val="en-US"/>
        </w:rPr>
        <w:t>(</w:t>
      </w:r>
      <w:proofErr w:type="gramEnd"/>
      <w:r w:rsidRPr="008210C1">
        <w:rPr>
          <w:rFonts w:ascii="Times New Roman" w:hAnsi="Times New Roman" w:cs="Times New Roman"/>
          <w:sz w:val="24"/>
          <w:szCs w:val="24"/>
          <w:lang w:val="en-US"/>
        </w:rPr>
        <w:t>291</w:t>
      </w:r>
      <w:r w:rsidR="00FA170F" w:rsidRPr="008210C1">
        <w:rPr>
          <w:rFonts w:ascii="Times New Roman" w:hAnsi="Times New Roman" w:cs="Times New Roman"/>
          <w:sz w:val="24"/>
          <w:szCs w:val="24"/>
          <w:lang w:val="en-US"/>
        </w:rPr>
        <w:t>)</w:t>
      </w:r>
      <w:r w:rsidRPr="008210C1">
        <w:rPr>
          <w:rFonts w:ascii="Times New Roman" w:hAnsi="Times New Roman" w:cs="Times New Roman"/>
          <w:sz w:val="24"/>
          <w:szCs w:val="24"/>
          <w:lang w:val="en-US"/>
        </w:rPr>
        <w:t xml:space="preserve">, </w:t>
      </w:r>
      <w:r w:rsidR="006B292D" w:rsidRPr="008210C1">
        <w:rPr>
          <w:rFonts w:ascii="Times New Roman" w:hAnsi="Times New Roman" w:cs="Times New Roman"/>
          <w:sz w:val="24"/>
          <w:szCs w:val="24"/>
          <w:lang w:val="en-US"/>
        </w:rPr>
        <w:t>pp.</w:t>
      </w:r>
      <w:r w:rsidRPr="008210C1">
        <w:rPr>
          <w:rFonts w:ascii="Times New Roman" w:hAnsi="Times New Roman" w:cs="Times New Roman"/>
          <w:sz w:val="24"/>
          <w:szCs w:val="24"/>
          <w:lang w:val="en-US"/>
        </w:rPr>
        <w:t>79-115.</w:t>
      </w:r>
    </w:p>
    <w:p w:rsidR="00F47B43" w:rsidRPr="008210C1" w:rsidRDefault="00F47B43" w:rsidP="008210C1">
      <w:pPr>
        <w:spacing w:after="0" w:line="240" w:lineRule="auto"/>
        <w:jc w:val="both"/>
        <w:rPr>
          <w:rFonts w:ascii="Times New Roman" w:hAnsi="Times New Roman" w:cs="Times New Roman"/>
          <w:sz w:val="24"/>
          <w:szCs w:val="24"/>
          <w:lang w:val="en-US"/>
        </w:rPr>
      </w:pPr>
      <w:proofErr w:type="spellStart"/>
      <w:r w:rsidRPr="008210C1">
        <w:rPr>
          <w:rFonts w:ascii="Times New Roman" w:hAnsi="Times New Roman" w:cs="Times New Roman"/>
          <w:sz w:val="24"/>
          <w:szCs w:val="24"/>
          <w:lang w:val="en-US"/>
        </w:rPr>
        <w:t>Dequech</w:t>
      </w:r>
      <w:proofErr w:type="spellEnd"/>
      <w:r w:rsidRPr="008210C1">
        <w:rPr>
          <w:rFonts w:ascii="Times New Roman" w:hAnsi="Times New Roman" w:cs="Times New Roman"/>
          <w:sz w:val="24"/>
          <w:szCs w:val="24"/>
          <w:lang w:val="en-US"/>
        </w:rPr>
        <w:t xml:space="preserve">, D. (1999), “On some arguments for the rationality of conventional </w:t>
      </w:r>
      <w:proofErr w:type="spellStart"/>
      <w:r w:rsidRPr="008210C1">
        <w:rPr>
          <w:rFonts w:ascii="Times New Roman" w:hAnsi="Times New Roman" w:cs="Times New Roman"/>
          <w:sz w:val="24"/>
          <w:szCs w:val="24"/>
          <w:lang w:val="en-US"/>
        </w:rPr>
        <w:t>behaviour</w:t>
      </w:r>
      <w:proofErr w:type="spellEnd"/>
      <w:r w:rsidRPr="008210C1">
        <w:rPr>
          <w:rFonts w:ascii="Times New Roman" w:hAnsi="Times New Roman" w:cs="Times New Roman"/>
          <w:sz w:val="24"/>
          <w:szCs w:val="24"/>
          <w:lang w:val="en-US"/>
        </w:rPr>
        <w:t xml:space="preserve"> under uncertainty: concepts, applicability and criticisms, in C. </w:t>
      </w:r>
      <w:proofErr w:type="spellStart"/>
      <w:r w:rsidRPr="008210C1">
        <w:rPr>
          <w:rFonts w:ascii="Times New Roman" w:hAnsi="Times New Roman" w:cs="Times New Roman"/>
          <w:sz w:val="24"/>
          <w:szCs w:val="24"/>
          <w:lang w:val="en-US"/>
        </w:rPr>
        <w:t>Sardoni</w:t>
      </w:r>
      <w:proofErr w:type="spellEnd"/>
      <w:r w:rsidRPr="008210C1">
        <w:rPr>
          <w:rFonts w:ascii="Times New Roman" w:hAnsi="Times New Roman" w:cs="Times New Roman"/>
          <w:sz w:val="24"/>
          <w:szCs w:val="24"/>
          <w:lang w:val="en-US"/>
        </w:rPr>
        <w:t xml:space="preserve">, and P. </w:t>
      </w:r>
      <w:proofErr w:type="spellStart"/>
      <w:r w:rsidRPr="008210C1">
        <w:rPr>
          <w:rFonts w:ascii="Times New Roman" w:hAnsi="Times New Roman" w:cs="Times New Roman"/>
          <w:sz w:val="24"/>
          <w:szCs w:val="24"/>
          <w:lang w:val="en-US"/>
        </w:rPr>
        <w:t>Kriesler</w:t>
      </w:r>
      <w:proofErr w:type="spellEnd"/>
      <w:r w:rsidRPr="008210C1">
        <w:rPr>
          <w:rFonts w:ascii="Times New Roman" w:hAnsi="Times New Roman" w:cs="Times New Roman"/>
          <w:sz w:val="24"/>
          <w:szCs w:val="24"/>
          <w:lang w:val="en-US"/>
        </w:rPr>
        <w:t>, (</w:t>
      </w:r>
      <w:proofErr w:type="spellStart"/>
      <w:r w:rsidRPr="008210C1">
        <w:rPr>
          <w:rFonts w:ascii="Times New Roman" w:hAnsi="Times New Roman" w:cs="Times New Roman"/>
          <w:sz w:val="24"/>
          <w:szCs w:val="24"/>
          <w:lang w:val="en-US"/>
        </w:rPr>
        <w:t>eds</w:t>
      </w:r>
      <w:proofErr w:type="spellEnd"/>
      <w:r w:rsidRPr="008210C1">
        <w:rPr>
          <w:rFonts w:ascii="Times New Roman" w:hAnsi="Times New Roman" w:cs="Times New Roman"/>
          <w:sz w:val="24"/>
          <w:szCs w:val="24"/>
          <w:lang w:val="en-US"/>
        </w:rPr>
        <w:t xml:space="preserve">), </w:t>
      </w:r>
      <w:r w:rsidRPr="008210C1">
        <w:rPr>
          <w:rFonts w:ascii="Times New Roman" w:hAnsi="Times New Roman" w:cs="Times New Roman"/>
          <w:i/>
          <w:sz w:val="24"/>
          <w:szCs w:val="24"/>
          <w:lang w:val="en-US"/>
        </w:rPr>
        <w:t>Keynes, post-</w:t>
      </w:r>
      <w:proofErr w:type="spellStart"/>
      <w:r w:rsidRPr="008210C1">
        <w:rPr>
          <w:rFonts w:ascii="Times New Roman" w:hAnsi="Times New Roman" w:cs="Times New Roman"/>
          <w:i/>
          <w:sz w:val="24"/>
          <w:szCs w:val="24"/>
          <w:lang w:val="en-US"/>
        </w:rPr>
        <w:t>keynesianism</w:t>
      </w:r>
      <w:proofErr w:type="spellEnd"/>
      <w:r w:rsidRPr="008210C1">
        <w:rPr>
          <w:rFonts w:ascii="Times New Roman" w:hAnsi="Times New Roman" w:cs="Times New Roman"/>
          <w:i/>
          <w:sz w:val="24"/>
          <w:szCs w:val="24"/>
          <w:lang w:val="en-US"/>
        </w:rPr>
        <w:t xml:space="preserve"> and political economy</w:t>
      </w:r>
      <w:r w:rsidRPr="008210C1">
        <w:rPr>
          <w:rFonts w:ascii="Times New Roman" w:hAnsi="Times New Roman" w:cs="Times New Roman"/>
          <w:sz w:val="24"/>
          <w:szCs w:val="24"/>
          <w:lang w:val="en-US"/>
        </w:rPr>
        <w:t>. London, UK: Routledge.</w:t>
      </w:r>
    </w:p>
    <w:p w:rsidR="00F47B43" w:rsidRPr="008210C1" w:rsidRDefault="00F47B43"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Dow, S. C. (2010), </w:t>
      </w:r>
      <w:r w:rsidRPr="008210C1">
        <w:rPr>
          <w:rFonts w:ascii="Times New Roman" w:hAnsi="Times New Roman" w:cs="Times New Roman"/>
          <w:i/>
          <w:sz w:val="24"/>
          <w:szCs w:val="24"/>
          <w:lang w:val="en-US"/>
        </w:rPr>
        <w:t>Keynes on Knowledge, Expectations and Rationality</w:t>
      </w:r>
      <w:r w:rsidRPr="008210C1">
        <w:rPr>
          <w:rFonts w:ascii="Times New Roman" w:hAnsi="Times New Roman" w:cs="Times New Roman"/>
          <w:sz w:val="24"/>
          <w:szCs w:val="24"/>
          <w:lang w:val="en-US"/>
        </w:rPr>
        <w:t xml:space="preserve">. Center of Capitalism and Society Conference on </w:t>
      </w:r>
      <w:proofErr w:type="spellStart"/>
      <w:r w:rsidRPr="008210C1">
        <w:rPr>
          <w:rFonts w:ascii="Times New Roman" w:hAnsi="Times New Roman" w:cs="Times New Roman"/>
          <w:sz w:val="24"/>
          <w:szCs w:val="24"/>
          <w:lang w:val="en-US"/>
        </w:rPr>
        <w:t>Microfoundations</w:t>
      </w:r>
      <w:proofErr w:type="spellEnd"/>
      <w:r w:rsidRPr="008210C1">
        <w:rPr>
          <w:rFonts w:ascii="Times New Roman" w:hAnsi="Times New Roman" w:cs="Times New Roman"/>
          <w:sz w:val="24"/>
          <w:szCs w:val="24"/>
          <w:lang w:val="en-US"/>
        </w:rPr>
        <w:t xml:space="preserve"> for Modern Macroeconomics. New York, USA.</w:t>
      </w:r>
    </w:p>
    <w:p w:rsidR="00F47B43" w:rsidRPr="008210C1" w:rsidRDefault="00F47B43"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Ferrari-Filho, F. and </w:t>
      </w:r>
      <w:proofErr w:type="spellStart"/>
      <w:r w:rsidRPr="008210C1">
        <w:rPr>
          <w:rFonts w:ascii="Times New Roman" w:hAnsi="Times New Roman" w:cs="Times New Roman"/>
          <w:sz w:val="24"/>
          <w:szCs w:val="24"/>
          <w:lang w:val="en-US"/>
        </w:rPr>
        <w:t>Conceição</w:t>
      </w:r>
      <w:proofErr w:type="spellEnd"/>
      <w:r w:rsidRPr="008210C1">
        <w:rPr>
          <w:rFonts w:ascii="Times New Roman" w:hAnsi="Times New Roman" w:cs="Times New Roman"/>
          <w:sz w:val="24"/>
          <w:szCs w:val="24"/>
          <w:lang w:val="en-US"/>
        </w:rPr>
        <w:t xml:space="preserve">, O. A. C. (2005), “The Concept of Uncertainty in Post Keynesian Theory and in Institutional Economics”, </w:t>
      </w:r>
      <w:r w:rsidRPr="008210C1">
        <w:rPr>
          <w:rFonts w:ascii="Times New Roman" w:hAnsi="Times New Roman" w:cs="Times New Roman"/>
          <w:i/>
          <w:sz w:val="24"/>
          <w:szCs w:val="24"/>
          <w:lang w:val="en-US"/>
        </w:rPr>
        <w:t>Journal of Economic Issues</w:t>
      </w:r>
      <w:r w:rsidRPr="008210C1">
        <w:rPr>
          <w:rFonts w:ascii="Times New Roman" w:hAnsi="Times New Roman" w:cs="Times New Roman"/>
          <w:sz w:val="24"/>
          <w:szCs w:val="24"/>
          <w:lang w:val="en-US"/>
        </w:rPr>
        <w:t>, XXXIX</w:t>
      </w:r>
      <w:r w:rsidR="00202586"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lang w:val="en-US"/>
        </w:rPr>
        <w:t>(3), pp. 579-594.</w:t>
      </w:r>
    </w:p>
    <w:p w:rsidR="00CA5E2C" w:rsidRPr="008210C1" w:rsidRDefault="00CA5E2C"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rPr>
        <w:t xml:space="preserve">Ferrari-Filho, F., (2006). </w:t>
      </w:r>
      <w:r w:rsidRPr="008210C1">
        <w:rPr>
          <w:rFonts w:ascii="Times New Roman" w:hAnsi="Times New Roman" w:cs="Times New Roman"/>
          <w:i/>
          <w:sz w:val="24"/>
          <w:szCs w:val="24"/>
        </w:rPr>
        <w:t>Política Comercial, Taxa de Câmbio e Moeda Internacional: uma análise a partir de Keynes.</w:t>
      </w:r>
      <w:r w:rsidRPr="008210C1">
        <w:rPr>
          <w:rFonts w:ascii="Times New Roman" w:hAnsi="Times New Roman" w:cs="Times New Roman"/>
          <w:sz w:val="24"/>
          <w:szCs w:val="24"/>
        </w:rPr>
        <w:t xml:space="preserve"> </w:t>
      </w:r>
      <w:r w:rsidRPr="008210C1">
        <w:rPr>
          <w:rFonts w:ascii="Times New Roman" w:hAnsi="Times New Roman" w:cs="Times New Roman"/>
          <w:sz w:val="24"/>
          <w:szCs w:val="24"/>
          <w:lang w:val="en-US"/>
        </w:rPr>
        <w:t>Porto Alegre: UFRGS.</w:t>
      </w:r>
    </w:p>
    <w:p w:rsidR="00F47B43" w:rsidRPr="008210C1" w:rsidRDefault="00F47B43"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Gala, P. (2008), “Real Exchange Rate Levels and Economic Development: theoretical analysis and empirical evidence”, </w:t>
      </w:r>
      <w:r w:rsidR="00A17606" w:rsidRPr="008210C1">
        <w:rPr>
          <w:rFonts w:ascii="Times New Roman" w:hAnsi="Times New Roman" w:cs="Times New Roman"/>
          <w:i/>
          <w:sz w:val="24"/>
          <w:szCs w:val="24"/>
          <w:lang w:val="en-US"/>
        </w:rPr>
        <w:t>Cambridge Journal of Economics</w:t>
      </w:r>
      <w:r w:rsidR="00A17606" w:rsidRPr="008210C1">
        <w:rPr>
          <w:rFonts w:ascii="Times New Roman" w:hAnsi="Times New Roman" w:cs="Times New Roman"/>
          <w:sz w:val="24"/>
          <w:szCs w:val="24"/>
          <w:lang w:val="en-US"/>
        </w:rPr>
        <w:t>, 32, pp. 273-288.</w:t>
      </w:r>
    </w:p>
    <w:p w:rsidR="00202586" w:rsidRPr="008210C1" w:rsidRDefault="00F47B43" w:rsidP="008210C1">
      <w:pPr>
        <w:spacing w:after="0" w:line="240" w:lineRule="auto"/>
        <w:jc w:val="both"/>
        <w:rPr>
          <w:rFonts w:ascii="Times New Roman" w:hAnsi="Times New Roman" w:cs="Times New Roman"/>
          <w:sz w:val="24"/>
          <w:szCs w:val="24"/>
        </w:rPr>
      </w:pPr>
      <w:r w:rsidRPr="008210C1">
        <w:rPr>
          <w:rFonts w:ascii="Times New Roman" w:hAnsi="Times New Roman" w:cs="Times New Roman"/>
          <w:sz w:val="24"/>
          <w:szCs w:val="24"/>
        </w:rPr>
        <w:t xml:space="preserve">Instituto Brasileiro de Geografia e Estatística (IBGE), (2017), </w:t>
      </w:r>
      <w:r w:rsidRPr="008210C1">
        <w:rPr>
          <w:rFonts w:ascii="Times New Roman" w:hAnsi="Times New Roman" w:cs="Times New Roman"/>
          <w:i/>
          <w:sz w:val="24"/>
          <w:szCs w:val="24"/>
        </w:rPr>
        <w:t>Séries Históricas e Estatísticas</w:t>
      </w:r>
      <w:r w:rsidRPr="008210C1">
        <w:rPr>
          <w:rFonts w:ascii="Times New Roman" w:hAnsi="Times New Roman" w:cs="Times New Roman"/>
          <w:sz w:val="24"/>
          <w:szCs w:val="24"/>
        </w:rPr>
        <w:t xml:space="preserve">. </w:t>
      </w:r>
      <w:r w:rsidR="00A17606" w:rsidRPr="008210C1">
        <w:rPr>
          <w:rFonts w:ascii="Times New Roman" w:hAnsi="Times New Roman" w:cs="Times New Roman"/>
          <w:sz w:val="24"/>
          <w:szCs w:val="24"/>
        </w:rPr>
        <w:t xml:space="preserve">Brasília, </w:t>
      </w:r>
      <w:proofErr w:type="spellStart"/>
      <w:r w:rsidR="00A17606" w:rsidRPr="008210C1">
        <w:rPr>
          <w:rFonts w:ascii="Times New Roman" w:hAnsi="Times New Roman" w:cs="Times New Roman"/>
          <w:sz w:val="24"/>
          <w:szCs w:val="24"/>
        </w:rPr>
        <w:t>Brazil</w:t>
      </w:r>
      <w:proofErr w:type="spellEnd"/>
      <w:r w:rsidR="00A17606" w:rsidRPr="008210C1">
        <w:rPr>
          <w:rFonts w:ascii="Times New Roman" w:hAnsi="Times New Roman" w:cs="Times New Roman"/>
          <w:sz w:val="24"/>
          <w:szCs w:val="24"/>
        </w:rPr>
        <w:t xml:space="preserve">. </w:t>
      </w:r>
      <w:proofErr w:type="spellStart"/>
      <w:r w:rsidRPr="008210C1">
        <w:rPr>
          <w:rFonts w:ascii="Times New Roman" w:hAnsi="Times New Roman" w:cs="Times New Roman"/>
          <w:sz w:val="24"/>
          <w:szCs w:val="24"/>
        </w:rPr>
        <w:t>Available</w:t>
      </w:r>
      <w:proofErr w:type="spellEnd"/>
      <w:r w:rsidRPr="008210C1">
        <w:rPr>
          <w:rFonts w:ascii="Times New Roman" w:hAnsi="Times New Roman" w:cs="Times New Roman"/>
          <w:sz w:val="24"/>
          <w:szCs w:val="24"/>
        </w:rPr>
        <w:t xml:space="preserve"> </w:t>
      </w:r>
      <w:proofErr w:type="spellStart"/>
      <w:r w:rsidRPr="008210C1">
        <w:rPr>
          <w:rFonts w:ascii="Times New Roman" w:hAnsi="Times New Roman" w:cs="Times New Roman"/>
          <w:sz w:val="24"/>
          <w:szCs w:val="24"/>
        </w:rPr>
        <w:t>at</w:t>
      </w:r>
      <w:proofErr w:type="spellEnd"/>
      <w:r w:rsidRPr="008210C1">
        <w:rPr>
          <w:rFonts w:ascii="Times New Roman" w:hAnsi="Times New Roman" w:cs="Times New Roman"/>
          <w:sz w:val="24"/>
          <w:szCs w:val="24"/>
        </w:rPr>
        <w:t>:</w:t>
      </w:r>
    </w:p>
    <w:p w:rsidR="00F47B43" w:rsidRPr="008210C1" w:rsidRDefault="000D5034" w:rsidP="008210C1">
      <w:pPr>
        <w:spacing w:after="0" w:line="240" w:lineRule="auto"/>
        <w:jc w:val="both"/>
        <w:rPr>
          <w:rFonts w:ascii="Times New Roman" w:hAnsi="Times New Roman" w:cs="Times New Roman"/>
          <w:sz w:val="24"/>
          <w:szCs w:val="24"/>
        </w:rPr>
      </w:pPr>
      <w:hyperlink r:id="rId11" w:history="1">
        <w:r w:rsidR="00F47B43" w:rsidRPr="008210C1">
          <w:rPr>
            <w:rStyle w:val="Hyperlink"/>
            <w:rFonts w:ascii="Times New Roman" w:hAnsi="Times New Roman" w:cs="Times New Roman"/>
            <w:sz w:val="24"/>
            <w:szCs w:val="24"/>
          </w:rPr>
          <w:t>http://seriesestatisticas.ibge.gov.br/lista_tema.aspx?op=0&amp;de=75&amp;no=12</w:t>
        </w:r>
      </w:hyperlink>
    </w:p>
    <w:p w:rsidR="00F47B43" w:rsidRPr="008210C1" w:rsidRDefault="00C107A8"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Keynes, J. M. </w:t>
      </w:r>
      <w:r w:rsidR="00A17606" w:rsidRPr="008210C1">
        <w:rPr>
          <w:rFonts w:ascii="Times New Roman" w:hAnsi="Times New Roman" w:cs="Times New Roman"/>
          <w:sz w:val="24"/>
          <w:szCs w:val="24"/>
          <w:lang w:val="en-US"/>
        </w:rPr>
        <w:t>(1973), “</w:t>
      </w:r>
      <w:r w:rsidR="00F47B43" w:rsidRPr="008210C1">
        <w:rPr>
          <w:rFonts w:ascii="Times New Roman" w:hAnsi="Times New Roman" w:cs="Times New Roman"/>
          <w:sz w:val="24"/>
          <w:szCs w:val="24"/>
          <w:lang w:val="en-US"/>
        </w:rPr>
        <w:t xml:space="preserve">The General Theory of Employment, Interest and Money”, </w:t>
      </w:r>
      <w:r w:rsidR="00F47B43" w:rsidRPr="008210C1">
        <w:rPr>
          <w:rFonts w:ascii="Times New Roman" w:hAnsi="Times New Roman" w:cs="Times New Roman"/>
          <w:i/>
          <w:sz w:val="24"/>
          <w:szCs w:val="24"/>
          <w:lang w:val="en-US"/>
        </w:rPr>
        <w:t>The Collected Writings of John Maynard Keynes</w:t>
      </w:r>
      <w:r w:rsidR="00F47B43" w:rsidRPr="008210C1">
        <w:rPr>
          <w:rFonts w:ascii="Times New Roman" w:hAnsi="Times New Roman" w:cs="Times New Roman"/>
          <w:sz w:val="24"/>
          <w:szCs w:val="24"/>
          <w:lang w:val="en-US"/>
        </w:rPr>
        <w:t>, VII, London, UK: Macmillan.</w:t>
      </w:r>
    </w:p>
    <w:p w:rsidR="00F47B43" w:rsidRPr="008210C1" w:rsidRDefault="00C107A8"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Keynes, J. M. </w:t>
      </w:r>
      <w:r w:rsidR="00A17606" w:rsidRPr="008210C1">
        <w:rPr>
          <w:rFonts w:ascii="Times New Roman" w:hAnsi="Times New Roman" w:cs="Times New Roman"/>
          <w:sz w:val="24"/>
          <w:szCs w:val="24"/>
          <w:lang w:val="en-US"/>
        </w:rPr>
        <w:t xml:space="preserve"> (1980a), “</w:t>
      </w:r>
      <w:r w:rsidR="00F47B43" w:rsidRPr="008210C1">
        <w:rPr>
          <w:rFonts w:ascii="Times New Roman" w:hAnsi="Times New Roman" w:cs="Times New Roman"/>
          <w:sz w:val="24"/>
          <w:szCs w:val="24"/>
          <w:lang w:val="en-US"/>
        </w:rPr>
        <w:t xml:space="preserve">Activities 1940-1946: Shaping the Post-War world – employment and commodities”, </w:t>
      </w:r>
      <w:r w:rsidR="00F47B43" w:rsidRPr="008210C1">
        <w:rPr>
          <w:rFonts w:ascii="Times New Roman" w:hAnsi="Times New Roman" w:cs="Times New Roman"/>
          <w:i/>
          <w:sz w:val="24"/>
          <w:szCs w:val="24"/>
          <w:lang w:val="en-US"/>
        </w:rPr>
        <w:t>The Collected Writings of John Maynard Keynes</w:t>
      </w:r>
      <w:r w:rsidR="00F47B43" w:rsidRPr="008210C1">
        <w:rPr>
          <w:rFonts w:ascii="Times New Roman" w:hAnsi="Times New Roman" w:cs="Times New Roman"/>
          <w:sz w:val="24"/>
          <w:szCs w:val="24"/>
          <w:lang w:val="en-US"/>
        </w:rPr>
        <w:t>, XXVII. London, UK: Macmillan.</w:t>
      </w:r>
    </w:p>
    <w:p w:rsidR="00F47B43" w:rsidRPr="008210C1" w:rsidRDefault="00C107A8"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Keynes, J. M. </w:t>
      </w:r>
      <w:r w:rsidR="00A17606" w:rsidRPr="008210C1">
        <w:rPr>
          <w:rFonts w:ascii="Times New Roman" w:hAnsi="Times New Roman" w:cs="Times New Roman"/>
          <w:sz w:val="24"/>
          <w:szCs w:val="24"/>
          <w:lang w:val="en-US"/>
        </w:rPr>
        <w:t xml:space="preserve"> (1980b), “</w:t>
      </w:r>
      <w:r w:rsidR="00F47B43" w:rsidRPr="008210C1">
        <w:rPr>
          <w:rFonts w:ascii="Times New Roman" w:hAnsi="Times New Roman" w:cs="Times New Roman"/>
          <w:sz w:val="24"/>
          <w:szCs w:val="24"/>
          <w:lang w:val="en-US"/>
        </w:rPr>
        <w:t xml:space="preserve">Activities 1940-1944: Shaping the Post-War world – The Clearing Union”, </w:t>
      </w:r>
      <w:r w:rsidR="00F47B43" w:rsidRPr="008210C1">
        <w:rPr>
          <w:rFonts w:ascii="Times New Roman" w:hAnsi="Times New Roman" w:cs="Times New Roman"/>
          <w:i/>
          <w:sz w:val="24"/>
          <w:szCs w:val="24"/>
          <w:lang w:val="en-US"/>
        </w:rPr>
        <w:t>The Collected Writings of John Maynard Keynes</w:t>
      </w:r>
      <w:r w:rsidR="00F47B43" w:rsidRPr="008210C1">
        <w:rPr>
          <w:rFonts w:ascii="Times New Roman" w:hAnsi="Times New Roman" w:cs="Times New Roman"/>
          <w:sz w:val="24"/>
          <w:szCs w:val="24"/>
          <w:lang w:val="en-US"/>
        </w:rPr>
        <w:t>, XXV. London, UK: Macmillan.</w:t>
      </w:r>
    </w:p>
    <w:p w:rsidR="00C107A8" w:rsidRPr="008210C1" w:rsidRDefault="00C107A8"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lastRenderedPageBreak/>
        <w:t xml:space="preserve">Keynes, J. M., (1982), “The monetary policy of the </w:t>
      </w:r>
      <w:proofErr w:type="spellStart"/>
      <w:r w:rsidRPr="008210C1">
        <w:rPr>
          <w:rFonts w:ascii="Times New Roman" w:hAnsi="Times New Roman" w:cs="Times New Roman"/>
          <w:sz w:val="24"/>
          <w:szCs w:val="24"/>
          <w:lang w:val="en-US"/>
        </w:rPr>
        <w:t>Labour</w:t>
      </w:r>
      <w:proofErr w:type="spellEnd"/>
      <w:r w:rsidRPr="008210C1">
        <w:rPr>
          <w:rFonts w:ascii="Times New Roman" w:hAnsi="Times New Roman" w:cs="Times New Roman"/>
          <w:sz w:val="24"/>
          <w:szCs w:val="24"/>
          <w:lang w:val="en-US"/>
        </w:rPr>
        <w:t xml:space="preserve"> Party”, </w:t>
      </w:r>
      <w:r w:rsidRPr="008210C1">
        <w:rPr>
          <w:rFonts w:ascii="Times New Roman" w:hAnsi="Times New Roman" w:cs="Times New Roman"/>
          <w:i/>
          <w:sz w:val="24"/>
          <w:szCs w:val="24"/>
          <w:lang w:val="en-US"/>
        </w:rPr>
        <w:t>The Collected Writings of John Maynard Keynes</w:t>
      </w:r>
      <w:r w:rsidRPr="008210C1">
        <w:rPr>
          <w:rFonts w:ascii="Times New Roman" w:hAnsi="Times New Roman" w:cs="Times New Roman"/>
          <w:sz w:val="24"/>
          <w:szCs w:val="24"/>
          <w:lang w:val="en-US"/>
        </w:rPr>
        <w:t>, XXI. London, UK: Macmillan.</w:t>
      </w:r>
    </w:p>
    <w:p w:rsidR="00F47B43" w:rsidRPr="008210C1" w:rsidRDefault="00A17606"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IPEADATA (2017), </w:t>
      </w:r>
      <w:r w:rsidRPr="008210C1">
        <w:rPr>
          <w:rFonts w:ascii="Times New Roman" w:hAnsi="Times New Roman" w:cs="Times New Roman"/>
          <w:i/>
          <w:sz w:val="24"/>
          <w:szCs w:val="24"/>
          <w:lang w:val="en-US"/>
        </w:rPr>
        <w:t xml:space="preserve">Dados </w:t>
      </w:r>
      <w:proofErr w:type="spellStart"/>
      <w:r w:rsidRPr="008210C1">
        <w:rPr>
          <w:rFonts w:ascii="Times New Roman" w:hAnsi="Times New Roman" w:cs="Times New Roman"/>
          <w:i/>
          <w:sz w:val="24"/>
          <w:szCs w:val="24"/>
          <w:lang w:val="en-US"/>
        </w:rPr>
        <w:t>Macroeconomia</w:t>
      </w:r>
      <w:proofErr w:type="spellEnd"/>
      <w:r w:rsidRPr="008210C1">
        <w:rPr>
          <w:rFonts w:ascii="Times New Roman" w:hAnsi="Times New Roman" w:cs="Times New Roman"/>
          <w:sz w:val="24"/>
          <w:szCs w:val="24"/>
          <w:lang w:val="en-US"/>
        </w:rPr>
        <w:t xml:space="preserve">. IPEA: Brasília, Brazil. </w:t>
      </w:r>
      <w:r w:rsidR="00F47B43" w:rsidRPr="008210C1">
        <w:rPr>
          <w:rFonts w:ascii="Times New Roman" w:hAnsi="Times New Roman" w:cs="Times New Roman"/>
          <w:sz w:val="24"/>
          <w:szCs w:val="24"/>
          <w:lang w:val="en-US"/>
        </w:rPr>
        <w:t>Available at: http/</w:t>
      </w:r>
      <w:proofErr w:type="gramStart"/>
      <w:r w:rsidR="00F47B43" w:rsidRPr="008210C1">
        <w:rPr>
          <w:rFonts w:ascii="Times New Roman" w:hAnsi="Times New Roman" w:cs="Times New Roman"/>
          <w:sz w:val="24"/>
          <w:szCs w:val="24"/>
          <w:lang w:val="en-US"/>
        </w:rPr>
        <w:t>/:www.ipeadata.gov.br</w:t>
      </w:r>
      <w:proofErr w:type="gramEnd"/>
    </w:p>
    <w:p w:rsidR="00F47B43" w:rsidRPr="008210C1" w:rsidRDefault="00F47B43" w:rsidP="008210C1">
      <w:pPr>
        <w:spacing w:after="0" w:line="240" w:lineRule="auto"/>
        <w:jc w:val="both"/>
        <w:rPr>
          <w:rFonts w:ascii="Times New Roman" w:hAnsi="Times New Roman" w:cs="Times New Roman"/>
          <w:sz w:val="24"/>
          <w:szCs w:val="24"/>
          <w:lang w:val="en-US"/>
        </w:rPr>
      </w:pPr>
      <w:proofErr w:type="spellStart"/>
      <w:r w:rsidRPr="008210C1">
        <w:rPr>
          <w:rFonts w:ascii="Times New Roman" w:hAnsi="Times New Roman" w:cs="Times New Roman"/>
          <w:sz w:val="24"/>
          <w:szCs w:val="24"/>
          <w:lang w:val="en-US"/>
        </w:rPr>
        <w:t>Marccuzzo</w:t>
      </w:r>
      <w:proofErr w:type="spellEnd"/>
      <w:r w:rsidRPr="008210C1">
        <w:rPr>
          <w:rFonts w:ascii="Times New Roman" w:hAnsi="Times New Roman" w:cs="Times New Roman"/>
          <w:sz w:val="24"/>
          <w:szCs w:val="24"/>
          <w:lang w:val="en-US"/>
        </w:rPr>
        <w:t xml:space="preserve">, M.C. (2010), “Whose Welfare State? Beveridge versus Keynes”, in R. </w:t>
      </w:r>
      <w:proofErr w:type="gramStart"/>
      <w:r w:rsidRPr="008210C1">
        <w:rPr>
          <w:rFonts w:ascii="Times New Roman" w:hAnsi="Times New Roman" w:cs="Times New Roman"/>
          <w:sz w:val="24"/>
          <w:szCs w:val="24"/>
          <w:lang w:val="en-US"/>
        </w:rPr>
        <w:t>Backhouse,  and</w:t>
      </w:r>
      <w:proofErr w:type="gramEnd"/>
      <w:r w:rsidRPr="008210C1">
        <w:rPr>
          <w:rFonts w:ascii="Times New Roman" w:hAnsi="Times New Roman" w:cs="Times New Roman"/>
          <w:sz w:val="24"/>
          <w:szCs w:val="24"/>
          <w:lang w:val="en-US"/>
        </w:rPr>
        <w:t xml:space="preserve"> T. Nishizawa, (</w:t>
      </w:r>
      <w:proofErr w:type="spellStart"/>
      <w:r w:rsidRPr="008210C1">
        <w:rPr>
          <w:rFonts w:ascii="Times New Roman" w:hAnsi="Times New Roman" w:cs="Times New Roman"/>
          <w:sz w:val="24"/>
          <w:szCs w:val="24"/>
          <w:lang w:val="en-US"/>
        </w:rPr>
        <w:t>eds</w:t>
      </w:r>
      <w:proofErr w:type="spellEnd"/>
      <w:r w:rsidRPr="008210C1">
        <w:rPr>
          <w:rFonts w:ascii="Times New Roman" w:hAnsi="Times New Roman" w:cs="Times New Roman"/>
          <w:sz w:val="24"/>
          <w:szCs w:val="24"/>
          <w:lang w:val="en-US"/>
        </w:rPr>
        <w:t xml:space="preserve">), </w:t>
      </w:r>
      <w:r w:rsidRPr="008210C1">
        <w:rPr>
          <w:rFonts w:ascii="Times New Roman" w:hAnsi="Times New Roman" w:cs="Times New Roman"/>
          <w:i/>
          <w:sz w:val="24"/>
          <w:szCs w:val="24"/>
          <w:lang w:val="en-US"/>
        </w:rPr>
        <w:t>No Wealth but Life - Welfare Economics and the Welfare State in Britain, 1880-1945</w:t>
      </w:r>
      <w:r w:rsidRPr="008210C1">
        <w:rPr>
          <w:rFonts w:ascii="Times New Roman" w:hAnsi="Times New Roman" w:cs="Times New Roman"/>
          <w:sz w:val="24"/>
          <w:szCs w:val="24"/>
          <w:lang w:val="en-US"/>
        </w:rPr>
        <w:t xml:space="preserve">, pp. 189-206. Cambridge, UK: Cambridge University Press. </w:t>
      </w:r>
    </w:p>
    <w:p w:rsidR="00F47B43" w:rsidRPr="008210C1" w:rsidRDefault="00F47B43" w:rsidP="008210C1">
      <w:pPr>
        <w:spacing w:after="0" w:line="240" w:lineRule="auto"/>
        <w:jc w:val="both"/>
        <w:rPr>
          <w:rFonts w:ascii="Times New Roman" w:hAnsi="Times New Roman" w:cs="Times New Roman"/>
          <w:sz w:val="24"/>
          <w:szCs w:val="24"/>
          <w:lang w:val="en-US"/>
        </w:rPr>
      </w:pPr>
      <w:r w:rsidRPr="008210C1">
        <w:rPr>
          <w:rFonts w:ascii="Times New Roman" w:hAnsi="Times New Roman" w:cs="Times New Roman"/>
          <w:sz w:val="24"/>
          <w:szCs w:val="24"/>
          <w:lang w:val="en-US"/>
        </w:rPr>
        <w:t xml:space="preserve">Minsky, H. (1986), </w:t>
      </w:r>
      <w:r w:rsidRPr="008210C1">
        <w:rPr>
          <w:rFonts w:ascii="Times New Roman" w:hAnsi="Times New Roman" w:cs="Times New Roman"/>
          <w:i/>
          <w:sz w:val="24"/>
          <w:szCs w:val="24"/>
          <w:lang w:val="en-US"/>
        </w:rPr>
        <w:t>Stabilizing an Unstable Economy</w:t>
      </w:r>
      <w:r w:rsidRPr="008210C1">
        <w:rPr>
          <w:rFonts w:ascii="Times New Roman" w:hAnsi="Times New Roman" w:cs="Times New Roman"/>
          <w:sz w:val="24"/>
          <w:szCs w:val="24"/>
          <w:lang w:val="en-US"/>
        </w:rPr>
        <w:t>. New Heaven, USA: Twentieth Century Fund Report.</w:t>
      </w:r>
    </w:p>
    <w:p w:rsidR="00F47B43" w:rsidRPr="008210C1" w:rsidRDefault="00F47B43" w:rsidP="008210C1">
      <w:pPr>
        <w:spacing w:after="0" w:line="240" w:lineRule="auto"/>
        <w:jc w:val="both"/>
        <w:rPr>
          <w:rFonts w:ascii="Times New Roman" w:hAnsi="Times New Roman" w:cs="Times New Roman"/>
          <w:sz w:val="24"/>
          <w:szCs w:val="24"/>
        </w:rPr>
      </w:pPr>
      <w:proofErr w:type="spellStart"/>
      <w:r w:rsidRPr="008210C1">
        <w:rPr>
          <w:rFonts w:ascii="Times New Roman" w:hAnsi="Times New Roman" w:cs="Times New Roman"/>
          <w:sz w:val="24"/>
          <w:szCs w:val="24"/>
          <w:lang w:val="en-US"/>
        </w:rPr>
        <w:t>Modenesi</w:t>
      </w:r>
      <w:proofErr w:type="spellEnd"/>
      <w:r w:rsidRPr="008210C1">
        <w:rPr>
          <w:rFonts w:ascii="Times New Roman" w:hAnsi="Times New Roman" w:cs="Times New Roman"/>
          <w:sz w:val="24"/>
          <w:szCs w:val="24"/>
          <w:lang w:val="en-US"/>
        </w:rPr>
        <w:t xml:space="preserve">, A.M., </w:t>
      </w:r>
      <w:proofErr w:type="spellStart"/>
      <w:r w:rsidRPr="008210C1">
        <w:rPr>
          <w:rFonts w:ascii="Times New Roman" w:hAnsi="Times New Roman" w:cs="Times New Roman"/>
          <w:sz w:val="24"/>
          <w:szCs w:val="24"/>
          <w:lang w:val="en-US"/>
        </w:rPr>
        <w:t>Modenesi</w:t>
      </w:r>
      <w:proofErr w:type="spellEnd"/>
      <w:r w:rsidRPr="008210C1">
        <w:rPr>
          <w:rFonts w:ascii="Times New Roman" w:hAnsi="Times New Roman" w:cs="Times New Roman"/>
          <w:sz w:val="24"/>
          <w:szCs w:val="24"/>
          <w:lang w:val="en-US"/>
        </w:rPr>
        <w:t xml:space="preserve">, R.L. and </w:t>
      </w:r>
      <w:proofErr w:type="spellStart"/>
      <w:r w:rsidRPr="008210C1">
        <w:rPr>
          <w:rFonts w:ascii="Times New Roman" w:hAnsi="Times New Roman" w:cs="Times New Roman"/>
          <w:sz w:val="24"/>
          <w:szCs w:val="24"/>
          <w:lang w:val="en-US"/>
        </w:rPr>
        <w:t>Martions</w:t>
      </w:r>
      <w:proofErr w:type="spellEnd"/>
      <w:r w:rsidRPr="008210C1">
        <w:rPr>
          <w:rFonts w:ascii="Times New Roman" w:hAnsi="Times New Roman" w:cs="Times New Roman"/>
          <w:sz w:val="24"/>
          <w:szCs w:val="24"/>
          <w:lang w:val="en-US"/>
        </w:rPr>
        <w:t xml:space="preserve">, N.M. (2012), </w:t>
      </w:r>
      <w:r w:rsidRPr="008210C1">
        <w:rPr>
          <w:rFonts w:ascii="Times New Roman" w:hAnsi="Times New Roman" w:cs="Times New Roman"/>
          <w:i/>
          <w:sz w:val="24"/>
          <w:szCs w:val="24"/>
          <w:lang w:val="en-US"/>
        </w:rPr>
        <w:t>Convention, Interest Rates and Monetary Policy: a post-Keynesian-French-conventions-school approach</w:t>
      </w:r>
      <w:r w:rsidRPr="008210C1">
        <w:rPr>
          <w:rFonts w:ascii="Times New Roman" w:hAnsi="Times New Roman" w:cs="Times New Roman"/>
          <w:sz w:val="24"/>
          <w:szCs w:val="24"/>
          <w:lang w:val="en-US"/>
        </w:rPr>
        <w:t xml:space="preserve">. </w:t>
      </w:r>
      <w:r w:rsidRPr="008210C1">
        <w:rPr>
          <w:rFonts w:ascii="Times New Roman" w:hAnsi="Times New Roman" w:cs="Times New Roman"/>
          <w:sz w:val="24"/>
          <w:szCs w:val="24"/>
        </w:rPr>
        <w:t xml:space="preserve">Rio de Janeiro, </w:t>
      </w:r>
      <w:proofErr w:type="spellStart"/>
      <w:r w:rsidRPr="008210C1">
        <w:rPr>
          <w:rFonts w:ascii="Times New Roman" w:hAnsi="Times New Roman" w:cs="Times New Roman"/>
          <w:sz w:val="24"/>
          <w:szCs w:val="24"/>
        </w:rPr>
        <w:t>Brazil</w:t>
      </w:r>
      <w:proofErr w:type="spellEnd"/>
      <w:r w:rsidRPr="008210C1">
        <w:rPr>
          <w:rFonts w:ascii="Times New Roman" w:hAnsi="Times New Roman" w:cs="Times New Roman"/>
          <w:sz w:val="24"/>
          <w:szCs w:val="24"/>
        </w:rPr>
        <w:t>: VII Encontro Internacional da Associação Keynesiana Brasileira.</w:t>
      </w:r>
    </w:p>
    <w:p w:rsidR="00F47B43" w:rsidRPr="008210C1" w:rsidRDefault="00F47B43" w:rsidP="008210C1">
      <w:pPr>
        <w:spacing w:after="0" w:line="240" w:lineRule="auto"/>
        <w:jc w:val="both"/>
        <w:rPr>
          <w:rFonts w:ascii="Times New Roman" w:hAnsi="Times New Roman" w:cs="Times New Roman"/>
          <w:sz w:val="24"/>
          <w:szCs w:val="24"/>
        </w:rPr>
      </w:pPr>
      <w:proofErr w:type="spellStart"/>
      <w:r w:rsidRPr="008210C1">
        <w:rPr>
          <w:rFonts w:ascii="Times New Roman" w:hAnsi="Times New Roman" w:cs="Times New Roman"/>
          <w:sz w:val="24"/>
          <w:szCs w:val="24"/>
        </w:rPr>
        <w:t>Plihon</w:t>
      </w:r>
      <w:proofErr w:type="spellEnd"/>
      <w:r w:rsidRPr="008210C1">
        <w:rPr>
          <w:rFonts w:ascii="Times New Roman" w:hAnsi="Times New Roman" w:cs="Times New Roman"/>
          <w:sz w:val="24"/>
          <w:szCs w:val="24"/>
        </w:rPr>
        <w:t xml:space="preserve">, D. (1995), “A ascensão das finanças especulativas”, </w:t>
      </w:r>
      <w:r w:rsidRPr="008210C1">
        <w:rPr>
          <w:rFonts w:ascii="Times New Roman" w:hAnsi="Times New Roman" w:cs="Times New Roman"/>
          <w:i/>
          <w:iCs/>
          <w:sz w:val="24"/>
          <w:szCs w:val="24"/>
        </w:rPr>
        <w:t>Economia e Sociedade</w:t>
      </w:r>
      <w:r w:rsidRPr="008210C1">
        <w:rPr>
          <w:rFonts w:ascii="Times New Roman" w:hAnsi="Times New Roman" w:cs="Times New Roman"/>
          <w:sz w:val="24"/>
          <w:szCs w:val="24"/>
        </w:rPr>
        <w:t>, (5), pp. 61-78.</w:t>
      </w:r>
    </w:p>
    <w:p w:rsidR="00F47B43" w:rsidRPr="008210C1" w:rsidRDefault="00F47B43" w:rsidP="008210C1">
      <w:pPr>
        <w:spacing w:after="0" w:line="240" w:lineRule="auto"/>
        <w:jc w:val="both"/>
        <w:rPr>
          <w:rFonts w:ascii="Times New Roman" w:hAnsi="Times New Roman" w:cs="Times New Roman"/>
          <w:sz w:val="24"/>
          <w:szCs w:val="24"/>
        </w:rPr>
      </w:pPr>
      <w:r w:rsidRPr="008210C1">
        <w:rPr>
          <w:rFonts w:ascii="Times New Roman" w:hAnsi="Times New Roman" w:cs="Times New Roman"/>
          <w:sz w:val="24"/>
          <w:szCs w:val="24"/>
        </w:rPr>
        <w:t xml:space="preserve">Resende, M.F.C, Rocha, I., </w:t>
      </w:r>
      <w:proofErr w:type="spellStart"/>
      <w:r w:rsidRPr="008210C1">
        <w:rPr>
          <w:rFonts w:ascii="Times New Roman" w:hAnsi="Times New Roman" w:cs="Times New Roman"/>
          <w:sz w:val="24"/>
          <w:szCs w:val="24"/>
        </w:rPr>
        <w:t>Camuri</w:t>
      </w:r>
      <w:proofErr w:type="spellEnd"/>
      <w:r w:rsidRPr="008210C1">
        <w:rPr>
          <w:rFonts w:ascii="Times New Roman" w:hAnsi="Times New Roman" w:cs="Times New Roman"/>
          <w:sz w:val="24"/>
          <w:szCs w:val="24"/>
        </w:rPr>
        <w:t xml:space="preserve">, P. </w:t>
      </w:r>
      <w:proofErr w:type="spellStart"/>
      <w:r w:rsidRPr="008210C1">
        <w:rPr>
          <w:rFonts w:ascii="Times New Roman" w:hAnsi="Times New Roman" w:cs="Times New Roman"/>
          <w:sz w:val="24"/>
          <w:szCs w:val="24"/>
        </w:rPr>
        <w:t>and</w:t>
      </w:r>
      <w:proofErr w:type="spellEnd"/>
      <w:r w:rsidRPr="008210C1">
        <w:rPr>
          <w:rFonts w:ascii="Times New Roman" w:hAnsi="Times New Roman" w:cs="Times New Roman"/>
          <w:sz w:val="24"/>
          <w:szCs w:val="24"/>
        </w:rPr>
        <w:t xml:space="preserve"> </w:t>
      </w:r>
      <w:proofErr w:type="spellStart"/>
      <w:r w:rsidRPr="008210C1">
        <w:rPr>
          <w:rFonts w:ascii="Times New Roman" w:hAnsi="Times New Roman" w:cs="Times New Roman"/>
          <w:sz w:val="24"/>
          <w:szCs w:val="24"/>
        </w:rPr>
        <w:t>Borghi</w:t>
      </w:r>
      <w:proofErr w:type="spellEnd"/>
      <w:r w:rsidRPr="008210C1">
        <w:rPr>
          <w:rFonts w:ascii="Times New Roman" w:hAnsi="Times New Roman" w:cs="Times New Roman"/>
          <w:sz w:val="24"/>
          <w:szCs w:val="24"/>
        </w:rPr>
        <w:t>, R. (2013), “Câmbio, Salários, Política Fiscal e Coordenação do Investimento”, in IV Dossiê da Associação Keynesiana Brasileira.</w:t>
      </w:r>
    </w:p>
    <w:p w:rsidR="00F47B43" w:rsidRPr="008210C1" w:rsidRDefault="00F47B43" w:rsidP="008210C1">
      <w:pPr>
        <w:spacing w:after="0" w:line="240" w:lineRule="auto"/>
        <w:jc w:val="both"/>
        <w:rPr>
          <w:rFonts w:ascii="Times New Roman" w:hAnsi="Times New Roman" w:cs="Times New Roman"/>
          <w:sz w:val="24"/>
          <w:szCs w:val="24"/>
        </w:rPr>
      </w:pPr>
      <w:r w:rsidRPr="008210C1">
        <w:rPr>
          <w:rFonts w:ascii="Times New Roman" w:hAnsi="Times New Roman" w:cs="Times New Roman"/>
          <w:sz w:val="24"/>
          <w:szCs w:val="24"/>
        </w:rPr>
        <w:t xml:space="preserve">Rossi, P. </w:t>
      </w:r>
      <w:proofErr w:type="spellStart"/>
      <w:r w:rsidRPr="008210C1">
        <w:rPr>
          <w:rFonts w:ascii="Times New Roman" w:hAnsi="Times New Roman" w:cs="Times New Roman"/>
          <w:sz w:val="24"/>
          <w:szCs w:val="24"/>
        </w:rPr>
        <w:t>and</w:t>
      </w:r>
      <w:proofErr w:type="spellEnd"/>
      <w:r w:rsidRPr="008210C1">
        <w:rPr>
          <w:rFonts w:ascii="Times New Roman" w:hAnsi="Times New Roman" w:cs="Times New Roman"/>
          <w:sz w:val="24"/>
          <w:szCs w:val="24"/>
        </w:rPr>
        <w:t xml:space="preserve"> Mello, G. (2016), “Componentes Macroeconômicos e Estruturais da Crise Brasileira: o Subdesenvolvimento Revisitado”. </w:t>
      </w:r>
      <w:proofErr w:type="spellStart"/>
      <w:r w:rsidRPr="008210C1">
        <w:rPr>
          <w:rFonts w:ascii="Times New Roman" w:hAnsi="Times New Roman" w:cs="Times New Roman"/>
          <w:i/>
          <w:sz w:val="24"/>
          <w:szCs w:val="24"/>
        </w:rPr>
        <w:t>Brazilian</w:t>
      </w:r>
      <w:proofErr w:type="spellEnd"/>
      <w:r w:rsidRPr="008210C1">
        <w:rPr>
          <w:rFonts w:ascii="Times New Roman" w:hAnsi="Times New Roman" w:cs="Times New Roman"/>
          <w:i/>
          <w:sz w:val="24"/>
          <w:szCs w:val="24"/>
        </w:rPr>
        <w:t xml:space="preserve"> </w:t>
      </w:r>
      <w:proofErr w:type="spellStart"/>
      <w:r w:rsidRPr="008210C1">
        <w:rPr>
          <w:rFonts w:ascii="Times New Roman" w:hAnsi="Times New Roman" w:cs="Times New Roman"/>
          <w:i/>
          <w:sz w:val="24"/>
          <w:szCs w:val="24"/>
        </w:rPr>
        <w:t>Keynesian</w:t>
      </w:r>
      <w:proofErr w:type="spellEnd"/>
      <w:r w:rsidRPr="008210C1">
        <w:rPr>
          <w:rFonts w:ascii="Times New Roman" w:hAnsi="Times New Roman" w:cs="Times New Roman"/>
          <w:i/>
          <w:sz w:val="24"/>
          <w:szCs w:val="24"/>
        </w:rPr>
        <w:t xml:space="preserve"> Review</w:t>
      </w:r>
      <w:r w:rsidRPr="008210C1">
        <w:rPr>
          <w:rFonts w:ascii="Times New Roman" w:hAnsi="Times New Roman" w:cs="Times New Roman"/>
          <w:sz w:val="24"/>
          <w:szCs w:val="24"/>
        </w:rPr>
        <w:t>, 2(2), pp. 252-263.</w:t>
      </w:r>
    </w:p>
    <w:p w:rsidR="00F47B43" w:rsidRPr="008210C1" w:rsidRDefault="00F47B43" w:rsidP="008210C1">
      <w:pPr>
        <w:spacing w:after="0" w:line="240" w:lineRule="auto"/>
        <w:jc w:val="both"/>
        <w:rPr>
          <w:rFonts w:ascii="Times New Roman" w:hAnsi="Times New Roman" w:cs="Times New Roman"/>
          <w:sz w:val="24"/>
          <w:szCs w:val="24"/>
          <w:lang w:val="en-US"/>
        </w:rPr>
      </w:pPr>
      <w:proofErr w:type="spellStart"/>
      <w:r w:rsidRPr="008210C1">
        <w:rPr>
          <w:rFonts w:ascii="Times New Roman" w:hAnsi="Times New Roman" w:cs="Times New Roman"/>
          <w:sz w:val="24"/>
          <w:szCs w:val="24"/>
        </w:rPr>
        <w:t>Rozas</w:t>
      </w:r>
      <w:proofErr w:type="spellEnd"/>
      <w:r w:rsidRPr="008210C1">
        <w:rPr>
          <w:rFonts w:ascii="Times New Roman" w:hAnsi="Times New Roman" w:cs="Times New Roman"/>
          <w:sz w:val="24"/>
          <w:szCs w:val="24"/>
        </w:rPr>
        <w:t xml:space="preserve">, P. </w:t>
      </w:r>
      <w:proofErr w:type="spellStart"/>
      <w:r w:rsidRPr="008210C1">
        <w:rPr>
          <w:rFonts w:ascii="Times New Roman" w:hAnsi="Times New Roman" w:cs="Times New Roman"/>
          <w:sz w:val="24"/>
          <w:szCs w:val="24"/>
        </w:rPr>
        <w:t>and</w:t>
      </w:r>
      <w:proofErr w:type="spellEnd"/>
      <w:r w:rsidRPr="008210C1">
        <w:rPr>
          <w:rFonts w:ascii="Times New Roman" w:hAnsi="Times New Roman" w:cs="Times New Roman"/>
          <w:sz w:val="24"/>
          <w:szCs w:val="24"/>
        </w:rPr>
        <w:t xml:space="preserve"> Sánchez R. (2004), </w:t>
      </w:r>
      <w:proofErr w:type="spellStart"/>
      <w:r w:rsidRPr="008210C1">
        <w:rPr>
          <w:rFonts w:ascii="Times New Roman" w:hAnsi="Times New Roman" w:cs="Times New Roman"/>
          <w:i/>
          <w:sz w:val="24"/>
          <w:szCs w:val="24"/>
        </w:rPr>
        <w:t>Desarrollo</w:t>
      </w:r>
      <w:proofErr w:type="spellEnd"/>
      <w:r w:rsidRPr="008210C1">
        <w:rPr>
          <w:rFonts w:ascii="Times New Roman" w:hAnsi="Times New Roman" w:cs="Times New Roman"/>
          <w:i/>
          <w:sz w:val="24"/>
          <w:szCs w:val="24"/>
        </w:rPr>
        <w:t xml:space="preserve"> de </w:t>
      </w:r>
      <w:proofErr w:type="spellStart"/>
      <w:r w:rsidRPr="008210C1">
        <w:rPr>
          <w:rFonts w:ascii="Times New Roman" w:hAnsi="Times New Roman" w:cs="Times New Roman"/>
          <w:i/>
          <w:sz w:val="24"/>
          <w:szCs w:val="24"/>
        </w:rPr>
        <w:t>infraestructura</w:t>
      </w:r>
      <w:proofErr w:type="spellEnd"/>
      <w:r w:rsidRPr="008210C1">
        <w:rPr>
          <w:rFonts w:ascii="Times New Roman" w:hAnsi="Times New Roman" w:cs="Times New Roman"/>
          <w:i/>
          <w:sz w:val="24"/>
          <w:szCs w:val="24"/>
        </w:rPr>
        <w:t xml:space="preserve"> y </w:t>
      </w:r>
      <w:proofErr w:type="spellStart"/>
      <w:r w:rsidRPr="008210C1">
        <w:rPr>
          <w:rFonts w:ascii="Times New Roman" w:hAnsi="Times New Roman" w:cs="Times New Roman"/>
          <w:i/>
          <w:sz w:val="24"/>
          <w:szCs w:val="24"/>
        </w:rPr>
        <w:t>crecimiento</w:t>
      </w:r>
      <w:proofErr w:type="spellEnd"/>
      <w:r w:rsidRPr="008210C1">
        <w:rPr>
          <w:rFonts w:ascii="Times New Roman" w:hAnsi="Times New Roman" w:cs="Times New Roman"/>
          <w:i/>
          <w:sz w:val="24"/>
          <w:szCs w:val="24"/>
        </w:rPr>
        <w:t xml:space="preserve"> económico: </w:t>
      </w:r>
      <w:proofErr w:type="spellStart"/>
      <w:r w:rsidRPr="008210C1">
        <w:rPr>
          <w:rFonts w:ascii="Times New Roman" w:hAnsi="Times New Roman" w:cs="Times New Roman"/>
          <w:i/>
          <w:sz w:val="24"/>
          <w:szCs w:val="24"/>
        </w:rPr>
        <w:t>revisión</w:t>
      </w:r>
      <w:proofErr w:type="spellEnd"/>
      <w:r w:rsidRPr="008210C1">
        <w:rPr>
          <w:rFonts w:ascii="Times New Roman" w:hAnsi="Times New Roman" w:cs="Times New Roman"/>
          <w:i/>
          <w:sz w:val="24"/>
          <w:szCs w:val="24"/>
        </w:rPr>
        <w:t xml:space="preserve"> conceptual</w:t>
      </w:r>
      <w:r w:rsidRPr="008210C1">
        <w:rPr>
          <w:rFonts w:ascii="Times New Roman" w:hAnsi="Times New Roman" w:cs="Times New Roman"/>
          <w:sz w:val="24"/>
          <w:szCs w:val="24"/>
        </w:rPr>
        <w:t xml:space="preserve">. </w:t>
      </w:r>
      <w:r w:rsidR="00A17606" w:rsidRPr="008210C1">
        <w:rPr>
          <w:rFonts w:ascii="Times New Roman" w:hAnsi="Times New Roman" w:cs="Times New Roman"/>
          <w:sz w:val="24"/>
          <w:szCs w:val="24"/>
          <w:lang w:val="en-US"/>
        </w:rPr>
        <w:t>Santiago, Chile: ECLAC.</w:t>
      </w:r>
    </w:p>
    <w:p w:rsidR="004F54A6" w:rsidRPr="008210C1" w:rsidRDefault="004F54A6" w:rsidP="008210C1">
      <w:pPr>
        <w:spacing w:after="0" w:line="240" w:lineRule="auto"/>
        <w:jc w:val="both"/>
        <w:rPr>
          <w:rFonts w:ascii="Times New Roman" w:hAnsi="Times New Roman" w:cs="Times New Roman"/>
          <w:sz w:val="24"/>
          <w:szCs w:val="24"/>
          <w:lang w:val="en-US"/>
        </w:rPr>
      </w:pPr>
    </w:p>
    <w:p w:rsidR="00671211" w:rsidRPr="008210C1" w:rsidRDefault="00671211" w:rsidP="008210C1">
      <w:pPr>
        <w:spacing w:after="0" w:line="240" w:lineRule="auto"/>
        <w:jc w:val="both"/>
        <w:rPr>
          <w:rFonts w:ascii="Times New Roman" w:hAnsi="Times New Roman" w:cs="Times New Roman"/>
          <w:sz w:val="24"/>
          <w:szCs w:val="24"/>
          <w:lang w:val="en-US"/>
        </w:rPr>
      </w:pPr>
    </w:p>
    <w:sectPr w:rsidR="00671211" w:rsidRPr="008210C1" w:rsidSect="00674DB0">
      <w:footerReference w:type="even" r:id="rId12"/>
      <w:footerReference w:type="default" r:id="rId13"/>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034" w:rsidRDefault="000D5034" w:rsidP="003D0E5F">
      <w:pPr>
        <w:spacing w:after="0" w:line="240" w:lineRule="auto"/>
      </w:pPr>
      <w:r>
        <w:separator/>
      </w:r>
    </w:p>
  </w:endnote>
  <w:endnote w:type="continuationSeparator" w:id="0">
    <w:p w:rsidR="000D5034" w:rsidRDefault="000D5034" w:rsidP="003D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4FD" w:rsidRDefault="009F16DD" w:rsidP="009907AF">
    <w:pPr>
      <w:pStyle w:val="Rodap"/>
      <w:framePr w:wrap="none" w:vAnchor="text" w:hAnchor="margin" w:xAlign="right" w:y="1"/>
      <w:rPr>
        <w:rStyle w:val="Nmerodepgina"/>
      </w:rPr>
    </w:pPr>
    <w:r>
      <w:rPr>
        <w:rStyle w:val="Nmerodepgina"/>
      </w:rPr>
      <w:fldChar w:fldCharType="begin"/>
    </w:r>
    <w:r w:rsidR="00DE14FD">
      <w:rPr>
        <w:rStyle w:val="Nmerodepgina"/>
      </w:rPr>
      <w:instrText xml:space="preserve">PAGE  </w:instrText>
    </w:r>
    <w:r>
      <w:rPr>
        <w:rStyle w:val="Nmerodepgina"/>
      </w:rPr>
      <w:fldChar w:fldCharType="end"/>
    </w:r>
  </w:p>
  <w:p w:rsidR="00DE14FD" w:rsidRDefault="00DE14FD" w:rsidP="009D7C4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4FD" w:rsidRDefault="009F16DD" w:rsidP="009907AF">
    <w:pPr>
      <w:pStyle w:val="Rodap"/>
      <w:framePr w:wrap="none" w:vAnchor="text" w:hAnchor="margin" w:xAlign="right" w:y="1"/>
      <w:rPr>
        <w:rStyle w:val="Nmerodepgina"/>
      </w:rPr>
    </w:pPr>
    <w:r>
      <w:rPr>
        <w:rStyle w:val="Nmerodepgina"/>
      </w:rPr>
      <w:fldChar w:fldCharType="begin"/>
    </w:r>
    <w:r w:rsidR="00DE14FD">
      <w:rPr>
        <w:rStyle w:val="Nmerodepgina"/>
      </w:rPr>
      <w:instrText xml:space="preserve">PAGE  </w:instrText>
    </w:r>
    <w:r>
      <w:rPr>
        <w:rStyle w:val="Nmerodepgina"/>
      </w:rPr>
      <w:fldChar w:fldCharType="separate"/>
    </w:r>
    <w:r w:rsidR="00674DB0">
      <w:rPr>
        <w:rStyle w:val="Nmerodepgina"/>
        <w:noProof/>
      </w:rPr>
      <w:t>16</w:t>
    </w:r>
    <w:r>
      <w:rPr>
        <w:rStyle w:val="Nmerodepgina"/>
      </w:rPr>
      <w:fldChar w:fldCharType="end"/>
    </w:r>
  </w:p>
  <w:p w:rsidR="00DE14FD" w:rsidRDefault="00DE14FD" w:rsidP="009D7C4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034" w:rsidRDefault="000D5034" w:rsidP="003D0E5F">
      <w:pPr>
        <w:spacing w:after="0" w:line="240" w:lineRule="auto"/>
      </w:pPr>
      <w:r>
        <w:separator/>
      </w:r>
    </w:p>
  </w:footnote>
  <w:footnote w:type="continuationSeparator" w:id="0">
    <w:p w:rsidR="000D5034" w:rsidRDefault="000D5034" w:rsidP="003D0E5F">
      <w:pPr>
        <w:spacing w:after="0" w:line="240" w:lineRule="auto"/>
      </w:pPr>
      <w:r>
        <w:continuationSeparator/>
      </w:r>
    </w:p>
  </w:footnote>
  <w:footnote w:id="1">
    <w:p w:rsidR="00DE14FD" w:rsidRPr="00F47B43" w:rsidRDefault="00DE14FD" w:rsidP="00F47B43">
      <w:pPr>
        <w:pStyle w:val="Textodenotaderodap"/>
        <w:jc w:val="both"/>
        <w:rPr>
          <w:lang w:val="en-GB"/>
        </w:rPr>
      </w:pPr>
      <w:r>
        <w:rPr>
          <w:rStyle w:val="Refdenotaderodap"/>
        </w:rPr>
        <w:footnoteRef/>
      </w:r>
      <w:r w:rsidRPr="006870E0">
        <w:rPr>
          <w:lang w:val="en-US"/>
        </w:rPr>
        <w:t xml:space="preserve"> </w:t>
      </w:r>
      <w:r w:rsidRPr="006870E0">
        <w:rPr>
          <w:rFonts w:ascii="Times New Roman" w:eastAsia="Times New Roman" w:hAnsi="Times New Roman" w:cs="Times New Roman"/>
          <w:color w:val="000000"/>
          <w:lang w:val="en-US" w:eastAsia="pt-BR"/>
        </w:rPr>
        <w:t>Marco F</w:t>
      </w:r>
      <w:r>
        <w:rPr>
          <w:rFonts w:ascii="Times New Roman" w:eastAsia="Times New Roman" w:hAnsi="Times New Roman" w:cs="Times New Roman"/>
          <w:color w:val="000000"/>
          <w:lang w:val="en-US" w:eastAsia="pt-BR"/>
        </w:rPr>
        <w:t>.</w:t>
      </w:r>
      <w:r w:rsidRPr="006870E0">
        <w:rPr>
          <w:rFonts w:ascii="Times New Roman" w:eastAsia="Times New Roman" w:hAnsi="Times New Roman" w:cs="Times New Roman"/>
          <w:color w:val="000000"/>
          <w:lang w:val="en-US" w:eastAsia="pt-BR"/>
        </w:rPr>
        <w:t>C</w:t>
      </w:r>
      <w:r>
        <w:rPr>
          <w:rFonts w:ascii="Times New Roman" w:eastAsia="Times New Roman" w:hAnsi="Times New Roman" w:cs="Times New Roman"/>
          <w:color w:val="000000"/>
          <w:lang w:val="en-US" w:eastAsia="pt-BR"/>
        </w:rPr>
        <w:t>.</w:t>
      </w:r>
      <w:r w:rsidRPr="006870E0">
        <w:rPr>
          <w:rFonts w:ascii="Times New Roman" w:eastAsia="Times New Roman" w:hAnsi="Times New Roman" w:cs="Times New Roman"/>
          <w:color w:val="000000"/>
          <w:lang w:val="en-US" w:eastAsia="pt-BR"/>
        </w:rPr>
        <w:t xml:space="preserve"> Resende </w:t>
      </w:r>
      <w:r w:rsidRPr="00F47B43">
        <w:rPr>
          <w:rFonts w:ascii="Times New Roman" w:eastAsia="Times New Roman" w:hAnsi="Times New Roman" w:cs="Times New Roman"/>
          <w:color w:val="000000"/>
          <w:lang w:val="en-GB" w:eastAsia="pt-BR"/>
        </w:rPr>
        <w:t>thank</w:t>
      </w:r>
      <w:r>
        <w:rPr>
          <w:rFonts w:ascii="Times New Roman" w:eastAsia="Times New Roman" w:hAnsi="Times New Roman" w:cs="Times New Roman"/>
          <w:color w:val="000000"/>
          <w:lang w:val="en-GB" w:eastAsia="pt-BR"/>
        </w:rPr>
        <w:t>s</w:t>
      </w:r>
      <w:r w:rsidR="00657EB6" w:rsidRPr="00657EB6">
        <w:rPr>
          <w:rFonts w:ascii="Times New Roman" w:eastAsia="Times New Roman" w:hAnsi="Times New Roman" w:cs="Times New Roman"/>
          <w:color w:val="000000"/>
          <w:lang w:val="en-GB" w:eastAsia="pt-BR"/>
        </w:rPr>
        <w:t xml:space="preserve"> </w:t>
      </w:r>
      <w:r w:rsidR="00657EB6" w:rsidRPr="00F47B43">
        <w:rPr>
          <w:rFonts w:ascii="Times New Roman" w:eastAsia="Times New Roman" w:hAnsi="Times New Roman" w:cs="Times New Roman"/>
          <w:color w:val="000000"/>
          <w:lang w:val="en-GB" w:eastAsia="pt-BR"/>
        </w:rPr>
        <w:t>FAPEMIG/</w:t>
      </w:r>
      <w:proofErr w:type="spellStart"/>
      <w:r w:rsidR="00657EB6" w:rsidRPr="00F47B43">
        <w:rPr>
          <w:rFonts w:ascii="Times New Roman" w:eastAsia="Times New Roman" w:hAnsi="Times New Roman" w:cs="Times New Roman"/>
          <w:color w:val="000000"/>
          <w:lang w:val="en-GB" w:eastAsia="pt-BR"/>
        </w:rPr>
        <w:t>CNPq</w:t>
      </w:r>
      <w:proofErr w:type="spellEnd"/>
      <w:r w:rsidRPr="00F47B43">
        <w:rPr>
          <w:rFonts w:ascii="Times New Roman" w:eastAsia="Times New Roman" w:hAnsi="Times New Roman" w:cs="Times New Roman"/>
          <w:color w:val="000000"/>
          <w:lang w:val="en-GB" w:eastAsia="pt-BR"/>
        </w:rPr>
        <w:t xml:space="preserve"> for the</w:t>
      </w:r>
      <w:r w:rsidR="00657EB6">
        <w:rPr>
          <w:rFonts w:ascii="Times New Roman" w:eastAsia="Times New Roman" w:hAnsi="Times New Roman" w:cs="Times New Roman"/>
          <w:color w:val="000000"/>
          <w:lang w:val="en-GB" w:eastAsia="pt-BR"/>
        </w:rPr>
        <w:t>ir</w:t>
      </w:r>
      <w:r w:rsidRPr="00F47B43">
        <w:rPr>
          <w:rFonts w:ascii="Times New Roman" w:eastAsia="Times New Roman" w:hAnsi="Times New Roman" w:cs="Times New Roman"/>
          <w:color w:val="000000"/>
          <w:lang w:val="en-GB" w:eastAsia="pt-BR"/>
        </w:rPr>
        <w:t xml:space="preserve"> financial support</w:t>
      </w:r>
      <w:r w:rsidR="00657EB6">
        <w:rPr>
          <w:rFonts w:ascii="Times New Roman" w:eastAsia="Times New Roman" w:hAnsi="Times New Roman" w:cs="Times New Roman"/>
          <w:color w:val="000000"/>
          <w:lang w:val="en-GB" w:eastAsia="pt-BR"/>
        </w:rPr>
        <w:t>.</w:t>
      </w:r>
    </w:p>
  </w:footnote>
  <w:footnote w:id="2">
    <w:p w:rsidR="00DE14FD" w:rsidRDefault="00DE14FD" w:rsidP="00F47B43">
      <w:pPr>
        <w:spacing w:after="0" w:line="240" w:lineRule="auto"/>
        <w:contextualSpacing/>
        <w:jc w:val="both"/>
        <w:rPr>
          <w:rFonts w:ascii="Times New Roman" w:eastAsia="Times New Roman" w:hAnsi="Times New Roman" w:cs="Times New Roman"/>
          <w:sz w:val="20"/>
          <w:szCs w:val="20"/>
          <w:lang w:val="en-US" w:eastAsia="pt-BR"/>
        </w:rPr>
      </w:pPr>
      <w:r w:rsidRPr="00BA0397">
        <w:rPr>
          <w:rStyle w:val="Refdenotaderodap"/>
          <w:rFonts w:ascii="Times New Roman" w:hAnsi="Times New Roman" w:cs="Times New Roman"/>
          <w:sz w:val="20"/>
          <w:szCs w:val="20"/>
        </w:rPr>
        <w:footnoteRef/>
      </w:r>
      <w:r w:rsidRPr="00BA0397">
        <w:rPr>
          <w:rFonts w:ascii="Times New Roman" w:hAnsi="Times New Roman" w:cs="Times New Roman"/>
          <w:sz w:val="20"/>
          <w:szCs w:val="20"/>
          <w:lang w:val="en-US"/>
        </w:rPr>
        <w:t xml:space="preserve"> As Davis (1997</w:t>
      </w:r>
      <w:r>
        <w:rPr>
          <w:rFonts w:ascii="Times New Roman" w:hAnsi="Times New Roman" w:cs="Times New Roman"/>
          <w:sz w:val="20"/>
          <w:szCs w:val="20"/>
          <w:lang w:val="en-US"/>
        </w:rPr>
        <w:t xml:space="preserve">) </w:t>
      </w:r>
      <w:r w:rsidRPr="00BA0397">
        <w:rPr>
          <w:rFonts w:ascii="Times New Roman" w:hAnsi="Times New Roman" w:cs="Times New Roman"/>
          <w:sz w:val="20"/>
          <w:szCs w:val="20"/>
          <w:lang w:val="en-US"/>
        </w:rPr>
        <w:t xml:space="preserve">pointed out, </w:t>
      </w:r>
      <w:r w:rsidRPr="00BA0397">
        <w:rPr>
          <w:rFonts w:ascii="Times New Roman" w:eastAsia="Times New Roman" w:hAnsi="Times New Roman" w:cs="Times New Roman"/>
          <w:sz w:val="20"/>
          <w:szCs w:val="20"/>
          <w:lang w:val="en-US" w:eastAsia="pt-BR"/>
        </w:rPr>
        <w:t xml:space="preserve">“the genuinely revolutionary positions found in The General Theory appear to depend </w:t>
      </w:r>
      <w:r>
        <w:rPr>
          <w:rFonts w:ascii="Times New Roman" w:eastAsia="Times New Roman" w:hAnsi="Times New Roman" w:cs="Times New Roman"/>
          <w:sz w:val="20"/>
          <w:szCs w:val="20"/>
          <w:lang w:val="en-US" w:eastAsia="pt-BR"/>
        </w:rPr>
        <w:t>o</w:t>
      </w:r>
      <w:r w:rsidRPr="00BA0397">
        <w:rPr>
          <w:rFonts w:ascii="Times New Roman" w:eastAsia="Times New Roman" w:hAnsi="Times New Roman" w:cs="Times New Roman"/>
          <w:sz w:val="20"/>
          <w:szCs w:val="20"/>
          <w:lang w:val="en-US" w:eastAsia="pt-BR"/>
        </w:rPr>
        <w:t>n important respects upon the new views Keynes developed there regarding to history and conventions”</w:t>
      </w:r>
      <w:r>
        <w:rPr>
          <w:rFonts w:ascii="Times New Roman" w:eastAsia="Times New Roman" w:hAnsi="Times New Roman" w:cs="Times New Roman"/>
          <w:sz w:val="20"/>
          <w:szCs w:val="20"/>
          <w:lang w:val="en-US" w:eastAsia="pt-BR"/>
        </w:rPr>
        <w:t xml:space="preserve"> (</w:t>
      </w:r>
      <w:r w:rsidRPr="00BA0397">
        <w:rPr>
          <w:rFonts w:ascii="Times New Roman" w:hAnsi="Times New Roman" w:cs="Times New Roman"/>
          <w:sz w:val="20"/>
          <w:szCs w:val="20"/>
          <w:lang w:val="en-US"/>
        </w:rPr>
        <w:t>p.</w:t>
      </w:r>
      <w:r>
        <w:rPr>
          <w:rFonts w:ascii="Times New Roman" w:hAnsi="Times New Roman" w:cs="Times New Roman"/>
          <w:sz w:val="20"/>
          <w:szCs w:val="20"/>
          <w:lang w:val="en-US"/>
        </w:rPr>
        <w:t xml:space="preserve"> </w:t>
      </w:r>
      <w:r w:rsidRPr="00BA0397">
        <w:rPr>
          <w:rFonts w:ascii="Times New Roman" w:hAnsi="Times New Roman" w:cs="Times New Roman"/>
          <w:sz w:val="20"/>
          <w:szCs w:val="20"/>
          <w:lang w:val="en-US"/>
        </w:rPr>
        <w:t>149)</w:t>
      </w:r>
      <w:r w:rsidRPr="00BA0397">
        <w:rPr>
          <w:rFonts w:ascii="Times New Roman" w:eastAsia="Times New Roman" w:hAnsi="Times New Roman" w:cs="Times New Roman"/>
          <w:sz w:val="20"/>
          <w:szCs w:val="20"/>
          <w:lang w:val="en-US" w:eastAsia="pt-BR"/>
        </w:rPr>
        <w:t>.</w:t>
      </w:r>
    </w:p>
  </w:footnote>
  <w:footnote w:id="3">
    <w:p w:rsidR="00DE14FD" w:rsidRDefault="00DE14FD" w:rsidP="00F47B43">
      <w:pPr>
        <w:pStyle w:val="Textodenotaderodap"/>
        <w:contextualSpacing/>
        <w:jc w:val="both"/>
        <w:rPr>
          <w:lang w:val="en-US"/>
        </w:rPr>
      </w:pPr>
      <w:r w:rsidRPr="00BA0397">
        <w:rPr>
          <w:rStyle w:val="Refdenotaderodap"/>
          <w:rFonts w:ascii="Times New Roman" w:hAnsi="Times New Roman" w:cs="Times New Roman"/>
        </w:rPr>
        <w:footnoteRef/>
      </w:r>
      <w:r>
        <w:rPr>
          <w:rFonts w:ascii="Times New Roman" w:hAnsi="Times New Roman" w:cs="Times New Roman"/>
          <w:lang w:val="en-US"/>
        </w:rPr>
        <w:t>As Keynes (1973) states</w:t>
      </w:r>
      <w:r w:rsidRPr="00BA0397">
        <w:rPr>
          <w:rFonts w:ascii="Times New Roman" w:hAnsi="Times New Roman" w:cs="Times New Roman"/>
          <w:lang w:val="en-US"/>
        </w:rPr>
        <w:t xml:space="preserve"> </w:t>
      </w:r>
      <w:r>
        <w:rPr>
          <w:rFonts w:ascii="Times New Roman" w:hAnsi="Times New Roman" w:cs="Times New Roman"/>
          <w:lang w:val="en-US"/>
        </w:rPr>
        <w:t xml:space="preserve">“a </w:t>
      </w:r>
      <w:r w:rsidRPr="00BA0397">
        <w:rPr>
          <w:rFonts w:ascii="Times New Roman" w:hAnsi="Times New Roman" w:cs="Times New Roman"/>
          <w:lang w:val="en-US"/>
        </w:rPr>
        <w:t xml:space="preserve">conventional valuation </w:t>
      </w:r>
      <w:r>
        <w:rPr>
          <w:rFonts w:ascii="Times New Roman" w:hAnsi="Times New Roman" w:cs="Times New Roman"/>
          <w:lang w:val="en-US"/>
        </w:rPr>
        <w:t>[…]</w:t>
      </w:r>
      <w:r w:rsidRPr="00BA0397">
        <w:rPr>
          <w:rFonts w:ascii="Times New Roman" w:hAnsi="Times New Roman" w:cs="Times New Roman"/>
          <w:lang w:val="en-US"/>
        </w:rPr>
        <w:t xml:space="preserve"> is liable to change violently as the result of a sudden fluctuation of opinion due to factors which do not really make much difference to the prospective yield; since there will be no strong roots of conviction to hold it steady”</w:t>
      </w:r>
      <w:r w:rsidRPr="003F4B56">
        <w:rPr>
          <w:rFonts w:ascii="Times New Roman" w:hAnsi="Times New Roman" w:cs="Times New Roman"/>
          <w:lang w:val="en-US"/>
        </w:rPr>
        <w:t xml:space="preserve"> </w:t>
      </w:r>
      <w:r>
        <w:rPr>
          <w:rFonts w:ascii="Times New Roman" w:hAnsi="Times New Roman" w:cs="Times New Roman"/>
          <w:lang w:val="en-US"/>
        </w:rPr>
        <w:t>(p. 154</w:t>
      </w:r>
      <w:r w:rsidRPr="00BA0397">
        <w:rPr>
          <w:rFonts w:ascii="Times New Roman" w:hAnsi="Times New Roman" w:cs="Times New Roman"/>
          <w:lang w:val="en-US"/>
        </w:rPr>
        <w:t>)</w:t>
      </w:r>
      <w:r>
        <w:rPr>
          <w:rFonts w:ascii="Times New Roman" w:hAnsi="Times New Roman" w:cs="Times New Roman"/>
          <w:lang w:val="en-US"/>
        </w:rPr>
        <w:t>.</w:t>
      </w:r>
    </w:p>
  </w:footnote>
  <w:footnote w:id="4">
    <w:p w:rsidR="00DE14FD" w:rsidRPr="001B6671" w:rsidRDefault="00DE14FD" w:rsidP="00AF5477">
      <w:pPr>
        <w:pStyle w:val="Textodenotaderodap"/>
        <w:jc w:val="both"/>
        <w:rPr>
          <w:rFonts w:ascii="Times New Roman" w:hAnsi="Times New Roman" w:cs="Times New Roman"/>
          <w:lang w:val="en-US"/>
        </w:rPr>
      </w:pPr>
      <w:r w:rsidRPr="001B6671">
        <w:rPr>
          <w:rStyle w:val="Refdenotaderodap"/>
          <w:rFonts w:ascii="Times New Roman" w:hAnsi="Times New Roman" w:cs="Times New Roman"/>
        </w:rPr>
        <w:footnoteRef/>
      </w:r>
      <w:r w:rsidRPr="001B6671">
        <w:rPr>
          <w:rFonts w:ascii="Times New Roman" w:hAnsi="Times New Roman" w:cs="Times New Roman"/>
          <w:lang w:val="en-US"/>
        </w:rPr>
        <w:t xml:space="preserve"> </w:t>
      </w:r>
      <w:proofErr w:type="spellStart"/>
      <w:r w:rsidR="00E85278" w:rsidRPr="001B6671">
        <w:rPr>
          <w:rFonts w:ascii="Times New Roman" w:hAnsi="Times New Roman" w:cs="Times New Roman"/>
          <w:lang w:val="en-US"/>
        </w:rPr>
        <w:t>Arestis</w:t>
      </w:r>
      <w:proofErr w:type="spellEnd"/>
      <w:r w:rsidR="00E85278" w:rsidRPr="001B6671">
        <w:rPr>
          <w:rFonts w:ascii="Times New Roman" w:hAnsi="Times New Roman" w:cs="Times New Roman"/>
          <w:lang w:val="en-US"/>
        </w:rPr>
        <w:t xml:space="preserve"> and Terra (2015, p</w:t>
      </w:r>
      <w:r w:rsidR="00FA170F">
        <w:rPr>
          <w:rFonts w:ascii="Times New Roman" w:hAnsi="Times New Roman" w:cs="Times New Roman"/>
          <w:lang w:val="en-US"/>
        </w:rPr>
        <w:t>.</w:t>
      </w:r>
      <w:r w:rsidR="00E85278" w:rsidRPr="001B6671">
        <w:rPr>
          <w:rFonts w:ascii="Times New Roman" w:hAnsi="Times New Roman" w:cs="Times New Roman"/>
          <w:lang w:val="en-US"/>
        </w:rPr>
        <w:t xml:space="preserve"> 534)</w:t>
      </w:r>
      <w:r w:rsidR="00E85278" w:rsidRPr="00E85278">
        <w:rPr>
          <w:rFonts w:ascii="Times New Roman" w:hAnsi="Times New Roman" w:cs="Times New Roman"/>
          <w:lang w:val="en-US"/>
        </w:rPr>
        <w:t xml:space="preserve"> </w:t>
      </w:r>
      <w:r w:rsidR="00E85278" w:rsidRPr="001B6671">
        <w:rPr>
          <w:rFonts w:ascii="Times New Roman" w:hAnsi="Times New Roman" w:cs="Times New Roman"/>
          <w:lang w:val="en-US"/>
        </w:rPr>
        <w:t xml:space="preserve">itemized </w:t>
      </w:r>
      <w:r w:rsidR="00E85278">
        <w:rPr>
          <w:rFonts w:ascii="Times New Roman" w:hAnsi="Times New Roman" w:cs="Times New Roman"/>
          <w:lang w:val="en-US"/>
        </w:rPr>
        <w:t>t</w:t>
      </w:r>
      <w:r w:rsidR="00E85278" w:rsidRPr="001B6671">
        <w:rPr>
          <w:rFonts w:ascii="Times New Roman" w:hAnsi="Times New Roman" w:cs="Times New Roman"/>
          <w:lang w:val="en-US"/>
        </w:rPr>
        <w:t xml:space="preserve">he </w:t>
      </w:r>
      <w:r w:rsidRPr="001B6671">
        <w:rPr>
          <w:rFonts w:ascii="Times New Roman" w:hAnsi="Times New Roman" w:cs="Times New Roman"/>
          <w:lang w:val="en-US"/>
        </w:rPr>
        <w:t>counter cyclical measures the Brazilian government launched.</w:t>
      </w:r>
      <w:r>
        <w:rPr>
          <w:rFonts w:ascii="Times New Roman" w:hAnsi="Times New Roman" w:cs="Times New Roman"/>
          <w:lang w:val="en-US"/>
        </w:rPr>
        <w:t xml:space="preserve"> On the counter cyclical role of public banks, see chapter 12 of this book.</w:t>
      </w:r>
    </w:p>
  </w:footnote>
  <w:footnote w:id="5">
    <w:p w:rsidR="00DE14FD" w:rsidRPr="00170CD0" w:rsidRDefault="00DE14FD" w:rsidP="00AF5477">
      <w:pPr>
        <w:pStyle w:val="Textodenotaderodap"/>
        <w:jc w:val="both"/>
        <w:rPr>
          <w:rFonts w:ascii="Times New Roman" w:hAnsi="Times New Roman" w:cs="Times New Roman"/>
          <w:lang w:val="en-US"/>
        </w:rPr>
      </w:pPr>
      <w:r w:rsidRPr="00170CD0">
        <w:rPr>
          <w:rStyle w:val="Refdenotaderodap"/>
          <w:rFonts w:ascii="Times New Roman" w:hAnsi="Times New Roman" w:cs="Times New Roman"/>
        </w:rPr>
        <w:footnoteRef/>
      </w:r>
      <w:r w:rsidRPr="00170CD0">
        <w:rPr>
          <w:rFonts w:ascii="Times New Roman" w:hAnsi="Times New Roman" w:cs="Times New Roman"/>
          <w:lang w:val="en-US"/>
        </w:rPr>
        <w:t xml:space="preserve"> The period </w:t>
      </w:r>
      <w:r>
        <w:rPr>
          <w:rFonts w:ascii="Times New Roman" w:hAnsi="Times New Roman" w:cs="Times New Roman"/>
          <w:lang w:val="en-US"/>
        </w:rPr>
        <w:t>2011-</w:t>
      </w:r>
      <w:r w:rsidRPr="00170CD0">
        <w:rPr>
          <w:rFonts w:ascii="Times New Roman" w:hAnsi="Times New Roman" w:cs="Times New Roman"/>
          <w:lang w:val="en-US"/>
        </w:rPr>
        <w:t>2016 comprehends two Presidents</w:t>
      </w:r>
      <w:r>
        <w:rPr>
          <w:rFonts w:ascii="Times New Roman" w:hAnsi="Times New Roman" w:cs="Times New Roman"/>
          <w:lang w:val="en-US"/>
        </w:rPr>
        <w:t>,</w:t>
      </w:r>
      <w:r w:rsidRPr="00170CD0">
        <w:rPr>
          <w:rFonts w:ascii="Times New Roman" w:hAnsi="Times New Roman" w:cs="Times New Roman"/>
          <w:lang w:val="en-US"/>
        </w:rPr>
        <w:t xml:space="preserve"> </w:t>
      </w:r>
      <w:r>
        <w:rPr>
          <w:rFonts w:ascii="Times New Roman" w:hAnsi="Times New Roman" w:cs="Times New Roman"/>
          <w:lang w:val="en-US"/>
        </w:rPr>
        <w:t xml:space="preserve">Dilma Rousseff </w:t>
      </w:r>
      <w:r w:rsidRPr="00170CD0">
        <w:rPr>
          <w:rFonts w:ascii="Times New Roman" w:hAnsi="Times New Roman" w:cs="Times New Roman"/>
          <w:lang w:val="en-US"/>
        </w:rPr>
        <w:t xml:space="preserve">and Michel </w:t>
      </w:r>
      <w:proofErr w:type="spellStart"/>
      <w:r w:rsidRPr="00170CD0">
        <w:rPr>
          <w:rFonts w:ascii="Times New Roman" w:hAnsi="Times New Roman" w:cs="Times New Roman"/>
          <w:lang w:val="en-US"/>
        </w:rPr>
        <w:t>Temer</w:t>
      </w:r>
      <w:proofErr w:type="spellEnd"/>
      <w:r w:rsidRPr="00170CD0">
        <w:rPr>
          <w:rFonts w:ascii="Times New Roman" w:hAnsi="Times New Roman" w:cs="Times New Roman"/>
          <w:lang w:val="en-US"/>
        </w:rPr>
        <w:t>.</w:t>
      </w:r>
      <w:r>
        <w:rPr>
          <w:rFonts w:ascii="Times New Roman" w:hAnsi="Times New Roman" w:cs="Times New Roman"/>
          <w:lang w:val="en-US"/>
        </w:rPr>
        <w:t xml:space="preserve"> Rousseff was in charge</w:t>
      </w:r>
      <w:r w:rsidRPr="00170CD0">
        <w:rPr>
          <w:rFonts w:ascii="Times New Roman" w:hAnsi="Times New Roman" w:cs="Times New Roman"/>
          <w:lang w:val="en-US"/>
        </w:rPr>
        <w:t xml:space="preserve"> from January 2011 to April 2016, when an impeachment took her off the cabinet. Then, in April 2016, </w:t>
      </w:r>
      <w:proofErr w:type="spellStart"/>
      <w:r w:rsidRPr="00170CD0">
        <w:rPr>
          <w:rFonts w:ascii="Times New Roman" w:hAnsi="Times New Roman" w:cs="Times New Roman"/>
          <w:lang w:val="en-US"/>
        </w:rPr>
        <w:t>Temer</w:t>
      </w:r>
      <w:proofErr w:type="spellEnd"/>
      <w:r w:rsidRPr="00170CD0">
        <w:rPr>
          <w:rFonts w:ascii="Times New Roman" w:hAnsi="Times New Roman" w:cs="Times New Roman"/>
          <w:lang w:val="en-US"/>
        </w:rPr>
        <w:t xml:space="preserve"> became President. </w:t>
      </w:r>
      <w:r>
        <w:rPr>
          <w:rFonts w:ascii="Times New Roman" w:hAnsi="Times New Roman" w:cs="Times New Roman"/>
          <w:lang w:val="en-US"/>
        </w:rPr>
        <w:t>Over this period</w:t>
      </w:r>
      <w:r w:rsidRPr="00170CD0">
        <w:rPr>
          <w:rFonts w:ascii="Times New Roman" w:hAnsi="Times New Roman" w:cs="Times New Roman"/>
          <w:lang w:val="en-US"/>
        </w:rPr>
        <w:t xml:space="preserve">, </w:t>
      </w:r>
      <w:r>
        <w:rPr>
          <w:rFonts w:ascii="Times New Roman" w:hAnsi="Times New Roman" w:cs="Times New Roman"/>
          <w:lang w:val="en-US"/>
        </w:rPr>
        <w:t xml:space="preserve">Rousseff took </w:t>
      </w:r>
      <w:r w:rsidRPr="00170CD0">
        <w:rPr>
          <w:rFonts w:ascii="Times New Roman" w:hAnsi="Times New Roman" w:cs="Times New Roman"/>
          <w:lang w:val="en-US"/>
        </w:rPr>
        <w:t xml:space="preserve">most </w:t>
      </w:r>
      <w:r>
        <w:rPr>
          <w:rFonts w:ascii="Times New Roman" w:hAnsi="Times New Roman" w:cs="Times New Roman"/>
          <w:lang w:val="en-US"/>
        </w:rPr>
        <w:t>of the economic policy measures; thereby</w:t>
      </w:r>
      <w:r w:rsidRPr="00170CD0">
        <w:rPr>
          <w:rFonts w:ascii="Times New Roman" w:hAnsi="Times New Roman" w:cs="Times New Roman"/>
          <w:lang w:val="en-US"/>
        </w:rPr>
        <w:t>, we focus on the actions she ventured.</w:t>
      </w:r>
    </w:p>
  </w:footnote>
  <w:footnote w:id="6">
    <w:p w:rsidR="00DE14FD" w:rsidRPr="006E7C52" w:rsidRDefault="00DE14FD" w:rsidP="007927D9">
      <w:pPr>
        <w:spacing w:after="0" w:line="240" w:lineRule="auto"/>
        <w:jc w:val="both"/>
        <w:rPr>
          <w:rFonts w:ascii="Times New Roman" w:hAnsi="Times New Roman" w:cs="Times New Roman"/>
          <w:sz w:val="20"/>
          <w:szCs w:val="20"/>
          <w:lang w:val="en-US"/>
        </w:rPr>
      </w:pPr>
      <w:r w:rsidRPr="006E7C52">
        <w:rPr>
          <w:rStyle w:val="Refdenotaderodap"/>
          <w:sz w:val="20"/>
          <w:szCs w:val="20"/>
        </w:rPr>
        <w:footnoteRef/>
      </w:r>
      <w:r>
        <w:rPr>
          <w:rFonts w:ascii="Times New Roman" w:hAnsi="Times New Roman" w:cs="Times New Roman"/>
          <w:sz w:val="20"/>
          <w:szCs w:val="20"/>
          <w:lang w:val="en-US"/>
        </w:rPr>
        <w:t xml:space="preserve"> There were different sectorial impacts of the</w:t>
      </w:r>
      <w:r w:rsidRPr="006E7C52">
        <w:rPr>
          <w:rFonts w:ascii="Times New Roman" w:hAnsi="Times New Roman" w:cs="Times New Roman"/>
          <w:sz w:val="20"/>
          <w:szCs w:val="20"/>
          <w:lang w:val="en-US"/>
        </w:rPr>
        <w:t xml:space="preserve"> </w:t>
      </w:r>
      <w:r>
        <w:rPr>
          <w:rFonts w:ascii="Times New Roman" w:hAnsi="Times New Roman" w:cs="Times New Roman"/>
          <w:sz w:val="20"/>
          <w:szCs w:val="20"/>
          <w:lang w:val="en-US"/>
        </w:rPr>
        <w:t>over</w:t>
      </w:r>
      <w:r w:rsidRPr="006E7C52">
        <w:rPr>
          <w:rFonts w:ascii="Times New Roman" w:hAnsi="Times New Roman" w:cs="Times New Roman"/>
          <w:sz w:val="20"/>
          <w:szCs w:val="20"/>
          <w:lang w:val="en-US"/>
        </w:rPr>
        <w:t xml:space="preserve">valued </w:t>
      </w:r>
      <w:r>
        <w:rPr>
          <w:rFonts w:ascii="Times New Roman" w:hAnsi="Times New Roman" w:cs="Times New Roman"/>
          <w:sz w:val="20"/>
          <w:szCs w:val="20"/>
          <w:lang w:val="en-US"/>
        </w:rPr>
        <w:t>RER</w:t>
      </w:r>
      <w:r w:rsidRPr="006E7C52">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Pr="006E7C52">
        <w:rPr>
          <w:rFonts w:ascii="Times New Roman" w:hAnsi="Times New Roman" w:cs="Times New Roman"/>
          <w:sz w:val="20"/>
          <w:szCs w:val="20"/>
          <w:lang w:val="en-US"/>
        </w:rPr>
        <w:t xml:space="preserve">he </w:t>
      </w:r>
      <w:r>
        <w:rPr>
          <w:rFonts w:ascii="Times New Roman" w:hAnsi="Times New Roman" w:cs="Times New Roman"/>
          <w:sz w:val="20"/>
          <w:szCs w:val="20"/>
          <w:lang w:val="en-US"/>
        </w:rPr>
        <w:t>greater</w:t>
      </w:r>
      <w:r w:rsidRPr="006E7C52">
        <w:rPr>
          <w:rFonts w:ascii="Times New Roman" w:hAnsi="Times New Roman" w:cs="Times New Roman"/>
          <w:sz w:val="20"/>
          <w:szCs w:val="20"/>
          <w:lang w:val="en-US"/>
        </w:rPr>
        <w:t xml:space="preserve"> international prices</w:t>
      </w:r>
      <w:r>
        <w:rPr>
          <w:rFonts w:ascii="Times New Roman" w:hAnsi="Times New Roman" w:cs="Times New Roman"/>
          <w:sz w:val="20"/>
          <w:szCs w:val="20"/>
          <w:lang w:val="en-US"/>
        </w:rPr>
        <w:t xml:space="preserve"> of</w:t>
      </w:r>
      <w:r w:rsidRPr="006E7C52">
        <w:rPr>
          <w:rFonts w:ascii="Times New Roman" w:hAnsi="Times New Roman" w:cs="Times New Roman"/>
          <w:sz w:val="20"/>
          <w:szCs w:val="20"/>
          <w:lang w:val="en-US"/>
        </w:rPr>
        <w:t xml:space="preserve"> mining and agriculture commodities </w:t>
      </w:r>
      <w:r>
        <w:rPr>
          <w:rFonts w:ascii="Times New Roman" w:hAnsi="Times New Roman" w:cs="Times New Roman"/>
          <w:sz w:val="20"/>
          <w:szCs w:val="20"/>
          <w:lang w:val="en-US"/>
        </w:rPr>
        <w:t>reduced</w:t>
      </w:r>
      <w:r w:rsidRPr="006E7C52">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00E96022">
        <w:rPr>
          <w:rFonts w:ascii="Times New Roman" w:hAnsi="Times New Roman" w:cs="Times New Roman"/>
          <w:sz w:val="20"/>
          <w:szCs w:val="20"/>
          <w:lang w:val="en-US"/>
        </w:rPr>
        <w:t xml:space="preserve"> </w:t>
      </w:r>
      <w:r>
        <w:rPr>
          <w:rFonts w:ascii="Times New Roman" w:hAnsi="Times New Roman" w:cs="Times New Roman"/>
          <w:sz w:val="20"/>
          <w:szCs w:val="20"/>
          <w:lang w:val="en-US"/>
        </w:rPr>
        <w:t>RER in these sectors</w:t>
      </w:r>
      <w:r w:rsidRPr="006E7C52">
        <w:rPr>
          <w:rFonts w:ascii="Times New Roman" w:hAnsi="Times New Roman" w:cs="Times New Roman"/>
          <w:sz w:val="20"/>
          <w:szCs w:val="20"/>
          <w:lang w:val="en-US"/>
        </w:rPr>
        <w:t xml:space="preserve">. </w:t>
      </w:r>
      <w:r>
        <w:rPr>
          <w:rFonts w:ascii="Times New Roman" w:hAnsi="Times New Roman" w:cs="Times New Roman"/>
          <w:sz w:val="20"/>
          <w:szCs w:val="20"/>
          <w:lang w:val="en-US"/>
        </w:rPr>
        <w:t>However,</w:t>
      </w:r>
      <w:r w:rsidRPr="006E7C52">
        <w:rPr>
          <w:rFonts w:ascii="Times New Roman" w:hAnsi="Times New Roman" w:cs="Times New Roman"/>
          <w:sz w:val="20"/>
          <w:szCs w:val="20"/>
          <w:lang w:val="en-US"/>
        </w:rPr>
        <w:t xml:space="preserve"> the manufacturing industry</w:t>
      </w:r>
      <w:r>
        <w:rPr>
          <w:rFonts w:ascii="Times New Roman" w:hAnsi="Times New Roman" w:cs="Times New Roman"/>
          <w:sz w:val="20"/>
          <w:szCs w:val="20"/>
          <w:lang w:val="en-US"/>
        </w:rPr>
        <w:t xml:space="preserve"> (like</w:t>
      </w:r>
      <w:r w:rsidRPr="006E7C52">
        <w:rPr>
          <w:rFonts w:ascii="Times New Roman" w:hAnsi="Times New Roman" w:cs="Times New Roman"/>
          <w:sz w:val="20"/>
          <w:szCs w:val="20"/>
          <w:lang w:val="en-US"/>
        </w:rPr>
        <w:t xml:space="preserve"> the textile, electronics, cap</w:t>
      </w:r>
      <w:r>
        <w:rPr>
          <w:rFonts w:ascii="Times New Roman" w:hAnsi="Times New Roman" w:cs="Times New Roman"/>
          <w:sz w:val="20"/>
          <w:szCs w:val="20"/>
          <w:lang w:val="en-US"/>
        </w:rPr>
        <w:t>ital goods industries, etc.) was badly affected.</w:t>
      </w:r>
    </w:p>
  </w:footnote>
  <w:footnote w:id="7">
    <w:p w:rsidR="00DE14FD" w:rsidRDefault="00DE14FD" w:rsidP="007927D9">
      <w:pPr>
        <w:pStyle w:val="Textodenotaderodap"/>
        <w:jc w:val="both"/>
        <w:rPr>
          <w:lang w:val="en-US"/>
        </w:rPr>
      </w:pPr>
      <w:r w:rsidRPr="002D2426">
        <w:rPr>
          <w:rStyle w:val="Refdenotaderodap"/>
          <w:rFonts w:ascii="Times New Roman" w:hAnsi="Times New Roman" w:cs="Times New Roman"/>
        </w:rPr>
        <w:footnoteRef/>
      </w:r>
      <w:r w:rsidRPr="002D2426">
        <w:rPr>
          <w:rFonts w:ascii="Times New Roman" w:hAnsi="Times New Roman" w:cs="Times New Roman"/>
          <w:lang w:val="en-US"/>
        </w:rPr>
        <w:t xml:space="preserve"> Rossi and Mello (2016) </w:t>
      </w:r>
      <w:r>
        <w:rPr>
          <w:rFonts w:ascii="Times New Roman" w:hAnsi="Times New Roman" w:cs="Times New Roman"/>
          <w:lang w:val="en-US"/>
        </w:rPr>
        <w:t>saw a contradiction at the</w:t>
      </w:r>
      <w:r w:rsidRPr="002D2426">
        <w:rPr>
          <w:rFonts w:ascii="Times New Roman" w:hAnsi="Times New Roman" w:cs="Times New Roman"/>
          <w:lang w:val="en-US"/>
        </w:rPr>
        <w:t xml:space="preserve"> modernization of the consumption standard for a significant part of the Brazilian population</w:t>
      </w:r>
      <w:r>
        <w:rPr>
          <w:rFonts w:ascii="Times New Roman" w:hAnsi="Times New Roman" w:cs="Times New Roman"/>
          <w:lang w:val="en-US"/>
        </w:rPr>
        <w:t>.  A</w:t>
      </w:r>
      <w:r w:rsidRPr="002D2426">
        <w:rPr>
          <w:rFonts w:ascii="Times New Roman" w:hAnsi="Times New Roman" w:cs="Times New Roman"/>
          <w:lang w:val="en-US"/>
        </w:rPr>
        <w:t xml:space="preserve">s a necessary condition to overcome the underdevelopment </w:t>
      </w:r>
      <w:r w:rsidRPr="004A1199">
        <w:rPr>
          <w:rFonts w:ascii="Times New Roman" w:hAnsi="Times New Roman" w:cs="Times New Roman"/>
          <w:lang w:val="en-US"/>
        </w:rPr>
        <w:t>and the regressive production</w:t>
      </w:r>
      <w:r>
        <w:rPr>
          <w:rFonts w:ascii="Times New Roman" w:hAnsi="Times New Roman" w:cs="Times New Roman"/>
          <w:lang w:val="en-US"/>
        </w:rPr>
        <w:t xml:space="preserve"> of the country, the </w:t>
      </w:r>
      <w:r w:rsidRPr="002D2426">
        <w:rPr>
          <w:rFonts w:ascii="Times New Roman" w:hAnsi="Times New Roman" w:cs="Times New Roman"/>
          <w:lang w:val="en-US"/>
        </w:rPr>
        <w:t xml:space="preserve">supply that met this new consumption pattern came from imports enabled by the </w:t>
      </w:r>
      <w:r>
        <w:rPr>
          <w:rFonts w:ascii="Times New Roman" w:hAnsi="Times New Roman" w:cs="Times New Roman"/>
          <w:lang w:val="en-US"/>
        </w:rPr>
        <w:t>over</w:t>
      </w:r>
      <w:r w:rsidRPr="002D2426">
        <w:rPr>
          <w:rFonts w:ascii="Times New Roman" w:hAnsi="Times New Roman" w:cs="Times New Roman"/>
          <w:lang w:val="en-US"/>
        </w:rPr>
        <w:t xml:space="preserve">valued </w:t>
      </w:r>
      <w:r>
        <w:rPr>
          <w:rFonts w:ascii="Times New Roman" w:hAnsi="Times New Roman" w:cs="Times New Roman"/>
          <w:lang w:val="en-US"/>
        </w:rPr>
        <w:t>RER and so</w:t>
      </w:r>
      <w:r w:rsidRPr="002D2426">
        <w:rPr>
          <w:rFonts w:ascii="Times New Roman" w:hAnsi="Times New Roman" w:cs="Times New Roman"/>
          <w:lang w:val="en-US"/>
        </w:rPr>
        <w:t xml:space="preserve"> the Brazilian industry did not </w:t>
      </w:r>
      <w:r>
        <w:rPr>
          <w:rFonts w:ascii="Times New Roman" w:hAnsi="Times New Roman" w:cs="Times New Roman"/>
          <w:lang w:val="en-US"/>
        </w:rPr>
        <w:t xml:space="preserve">respond to it. </w:t>
      </w:r>
    </w:p>
  </w:footnote>
  <w:footnote w:id="8">
    <w:p w:rsidR="00DE14FD" w:rsidRPr="00483734" w:rsidRDefault="00DE14FD" w:rsidP="00197E4E">
      <w:pPr>
        <w:spacing w:after="0" w:line="240" w:lineRule="auto"/>
        <w:contextualSpacing/>
        <w:jc w:val="both"/>
        <w:rPr>
          <w:rFonts w:ascii="Times New Roman" w:hAnsi="Times New Roman" w:cs="Times New Roman"/>
          <w:sz w:val="20"/>
          <w:szCs w:val="20"/>
          <w:lang w:val="en-US"/>
        </w:rPr>
      </w:pPr>
      <w:r w:rsidRPr="00483734">
        <w:rPr>
          <w:rStyle w:val="Refdenotaderodap"/>
          <w:rFonts w:ascii="Times New Roman" w:hAnsi="Times New Roman" w:cs="Times New Roman"/>
          <w:sz w:val="20"/>
          <w:szCs w:val="20"/>
        </w:rPr>
        <w:footnoteRef/>
      </w:r>
      <w:r>
        <w:rPr>
          <w:rFonts w:ascii="Times New Roman" w:hAnsi="Times New Roman" w:cs="Times New Roman"/>
          <w:sz w:val="20"/>
          <w:szCs w:val="20"/>
          <w:lang w:val="en-US"/>
        </w:rPr>
        <w:t xml:space="preserve"> </w:t>
      </w:r>
      <w:r w:rsidRPr="00483734">
        <w:rPr>
          <w:rFonts w:ascii="Times New Roman" w:hAnsi="Times New Roman" w:cs="Times New Roman"/>
          <w:sz w:val="20"/>
          <w:szCs w:val="20"/>
          <w:lang w:val="en-US"/>
        </w:rPr>
        <w:t xml:space="preserve">The </w:t>
      </w:r>
      <w:r>
        <w:rPr>
          <w:rFonts w:ascii="Times New Roman" w:hAnsi="Times New Roman" w:cs="Times New Roman"/>
          <w:sz w:val="20"/>
          <w:szCs w:val="20"/>
          <w:lang w:val="en-US"/>
        </w:rPr>
        <w:t>enhanced</w:t>
      </w:r>
      <w:r w:rsidRPr="00483734">
        <w:rPr>
          <w:rFonts w:ascii="Times New Roman" w:hAnsi="Times New Roman" w:cs="Times New Roman"/>
          <w:sz w:val="20"/>
          <w:szCs w:val="20"/>
          <w:lang w:val="en-US"/>
        </w:rPr>
        <w:t xml:space="preserve"> current account in 2016 </w:t>
      </w:r>
      <w:r>
        <w:rPr>
          <w:rFonts w:ascii="Times New Roman" w:hAnsi="Times New Roman" w:cs="Times New Roman"/>
          <w:sz w:val="20"/>
          <w:szCs w:val="20"/>
          <w:lang w:val="en-US"/>
        </w:rPr>
        <w:t>(-</w:t>
      </w:r>
      <w:r w:rsidRPr="00483734">
        <w:rPr>
          <w:rFonts w:ascii="Times New Roman" w:hAnsi="Times New Roman" w:cs="Times New Roman"/>
          <w:sz w:val="20"/>
          <w:szCs w:val="20"/>
          <w:lang w:val="en-US"/>
        </w:rPr>
        <w:t>1</w:t>
      </w:r>
      <w:r>
        <w:rPr>
          <w:rFonts w:ascii="Times New Roman" w:hAnsi="Times New Roman" w:cs="Times New Roman"/>
          <w:sz w:val="20"/>
          <w:szCs w:val="20"/>
          <w:lang w:val="en-US"/>
        </w:rPr>
        <w:t>.</w:t>
      </w:r>
      <w:r w:rsidRPr="00483734">
        <w:rPr>
          <w:rFonts w:ascii="Times New Roman" w:hAnsi="Times New Roman" w:cs="Times New Roman"/>
          <w:sz w:val="20"/>
          <w:szCs w:val="20"/>
          <w:lang w:val="en-US"/>
        </w:rPr>
        <w:t>31% of GDP</w:t>
      </w:r>
      <w:r>
        <w:rPr>
          <w:rFonts w:ascii="Times New Roman" w:hAnsi="Times New Roman" w:cs="Times New Roman"/>
          <w:sz w:val="20"/>
          <w:szCs w:val="20"/>
          <w:lang w:val="en-US"/>
        </w:rPr>
        <w:t>)</w:t>
      </w:r>
      <w:r w:rsidRPr="00483734">
        <w:rPr>
          <w:rFonts w:ascii="Times New Roman" w:hAnsi="Times New Roman" w:cs="Times New Roman"/>
          <w:sz w:val="20"/>
          <w:szCs w:val="20"/>
          <w:lang w:val="en-US"/>
        </w:rPr>
        <w:t xml:space="preserve"> due to the recessi</w:t>
      </w:r>
      <w:r>
        <w:rPr>
          <w:rFonts w:ascii="Times New Roman" w:hAnsi="Times New Roman" w:cs="Times New Roman"/>
          <w:sz w:val="20"/>
          <w:szCs w:val="20"/>
          <w:lang w:val="en-US"/>
        </w:rPr>
        <w:t xml:space="preserve">on emerged from 2014 and onwards </w:t>
      </w:r>
      <w:r w:rsidRPr="00483734">
        <w:rPr>
          <w:rFonts w:ascii="Times New Roman" w:hAnsi="Times New Roman" w:cs="Times New Roman"/>
          <w:sz w:val="20"/>
          <w:szCs w:val="20"/>
          <w:lang w:val="en-US"/>
        </w:rPr>
        <w:t>(BCB, 2017).</w:t>
      </w:r>
    </w:p>
  </w:footnote>
  <w:footnote w:id="9">
    <w:p w:rsidR="00DE14FD" w:rsidRPr="00DE6077" w:rsidRDefault="00DE14FD" w:rsidP="00DE6077">
      <w:pPr>
        <w:pStyle w:val="Textodenotaderodap"/>
        <w:jc w:val="both"/>
        <w:rPr>
          <w:lang w:val="en-US"/>
        </w:rPr>
      </w:pPr>
      <w:r w:rsidRPr="00DE6077">
        <w:rPr>
          <w:rStyle w:val="Refdenotaderodap"/>
          <w:rFonts w:ascii="Times New Roman" w:hAnsi="Times New Roman" w:cs="Times New Roman"/>
        </w:rPr>
        <w:footnoteRef/>
      </w:r>
      <w:r w:rsidRPr="00DE6077">
        <w:rPr>
          <w:rFonts w:ascii="Times New Roman" w:hAnsi="Times New Roman" w:cs="Times New Roman"/>
          <w:lang w:val="en-US"/>
        </w:rPr>
        <w:t xml:space="preserve"> This and other </w:t>
      </w:r>
      <w:r w:rsidR="00532FED">
        <w:rPr>
          <w:rFonts w:ascii="Times New Roman" w:hAnsi="Times New Roman" w:cs="Times New Roman"/>
          <w:lang w:val="en-US"/>
        </w:rPr>
        <w:t>MP and FP’s</w:t>
      </w:r>
      <w:r w:rsidRPr="00DE6077">
        <w:rPr>
          <w:rFonts w:ascii="Times New Roman" w:hAnsi="Times New Roman" w:cs="Times New Roman"/>
          <w:lang w:val="en-US"/>
        </w:rPr>
        <w:t xml:space="preserve"> measures were Rousseff’s attempt to limber the New Macroeconomic Consensus macroeconomic policy practiced in Brazil. The Brazilian media called that attempt the New Macroeconomic Matrix.</w:t>
      </w:r>
    </w:p>
  </w:footnote>
  <w:footnote w:id="10">
    <w:p w:rsidR="00DE14FD" w:rsidRPr="00D40A64" w:rsidRDefault="00DE14FD" w:rsidP="00D40A64">
      <w:pPr>
        <w:pStyle w:val="Textodenotaderodap"/>
        <w:jc w:val="both"/>
        <w:rPr>
          <w:rFonts w:ascii="Times New Roman" w:hAnsi="Times New Roman" w:cs="Times New Roman"/>
          <w:lang w:val="en-US"/>
        </w:rPr>
      </w:pPr>
      <w:r w:rsidRPr="00D40A64">
        <w:rPr>
          <w:rStyle w:val="Refdenotaderodap"/>
          <w:rFonts w:ascii="Times New Roman" w:hAnsi="Times New Roman" w:cs="Times New Roman"/>
        </w:rPr>
        <w:footnoteRef/>
      </w:r>
      <w:r w:rsidRPr="00D40A64">
        <w:rPr>
          <w:rFonts w:ascii="Times New Roman" w:hAnsi="Times New Roman" w:cs="Times New Roman"/>
          <w:lang w:val="en-US"/>
        </w:rPr>
        <w:t xml:space="preserve"> The BCB also issued a so-called ‘reverse exchange rate derivative’ to curb the currency appreciation. As this tool is commonly used to avoid devaluations of the exchange rate, the one used to restrain valuations was called ‘reverse’ swaps.    </w:t>
      </w:r>
    </w:p>
  </w:footnote>
  <w:footnote w:id="11">
    <w:p w:rsidR="00DE14FD" w:rsidRPr="006A276E" w:rsidRDefault="00DE14FD" w:rsidP="006A276E">
      <w:pPr>
        <w:pStyle w:val="Textodenotaderodap"/>
        <w:jc w:val="both"/>
        <w:rPr>
          <w:rFonts w:ascii="Times New Roman" w:hAnsi="Times New Roman" w:cs="Times New Roman"/>
          <w:lang w:val="en-US"/>
        </w:rPr>
      </w:pPr>
      <w:r w:rsidRPr="006A276E">
        <w:rPr>
          <w:rStyle w:val="Refdenotaderodap"/>
          <w:rFonts w:ascii="Times New Roman" w:hAnsi="Times New Roman" w:cs="Times New Roman"/>
        </w:rPr>
        <w:footnoteRef/>
      </w:r>
      <w:r w:rsidRPr="006A276E">
        <w:rPr>
          <w:rFonts w:ascii="Times New Roman" w:hAnsi="Times New Roman" w:cs="Times New Roman"/>
          <w:lang w:val="en-US"/>
        </w:rPr>
        <w:t xml:space="preserve"> These hedge contracts do not deliver American Dollars to their holders and so they do not let the foreign reserves volatile. The BCB pays in </w:t>
      </w:r>
      <w:r w:rsidRPr="006A276E">
        <w:rPr>
          <w:rFonts w:ascii="Times New Roman" w:hAnsi="Times New Roman" w:cs="Times New Roman"/>
          <w:i/>
          <w:lang w:val="en-US"/>
        </w:rPr>
        <w:t>Real</w:t>
      </w:r>
      <w:r w:rsidRPr="006A276E">
        <w:rPr>
          <w:rFonts w:ascii="Times New Roman" w:hAnsi="Times New Roman" w:cs="Times New Roman"/>
          <w:lang w:val="en-US"/>
        </w:rPr>
        <w:t xml:space="preserve"> the amount equivalent to the change in the value of the exchange rate. Nevertheless, the contracts are a liability of the BCB and so they impact the public debt and the </w:t>
      </w:r>
      <w:r>
        <w:rPr>
          <w:rFonts w:ascii="Times New Roman" w:hAnsi="Times New Roman" w:cs="Times New Roman"/>
          <w:lang w:val="en-US"/>
        </w:rPr>
        <w:t>FP</w:t>
      </w:r>
      <w:r w:rsidRPr="006A276E">
        <w:rPr>
          <w:rFonts w:ascii="Times New Roman" w:hAnsi="Times New Roman" w:cs="Times New Roman"/>
          <w:lang w:val="en-US"/>
        </w:rPr>
        <w:t xml:space="preserve">.  </w:t>
      </w:r>
    </w:p>
  </w:footnote>
  <w:footnote w:id="12">
    <w:p w:rsidR="00DE14FD" w:rsidRPr="005C055A" w:rsidRDefault="00DE14FD" w:rsidP="00121C3E">
      <w:pPr>
        <w:pStyle w:val="Textodenotaderodap"/>
        <w:jc w:val="both"/>
        <w:rPr>
          <w:rFonts w:ascii="Times New Roman" w:hAnsi="Times New Roman" w:cs="Times New Roman"/>
          <w:lang w:val="en-US"/>
        </w:rPr>
      </w:pPr>
      <w:r w:rsidRPr="005C055A">
        <w:rPr>
          <w:rStyle w:val="Refdenotaderodap"/>
          <w:rFonts w:ascii="Times New Roman" w:hAnsi="Times New Roman" w:cs="Times New Roman"/>
        </w:rPr>
        <w:footnoteRef/>
      </w:r>
      <w:r>
        <w:rPr>
          <w:rFonts w:ascii="Times New Roman" w:hAnsi="Times New Roman" w:cs="Times New Roman"/>
          <w:lang w:val="en-US"/>
        </w:rPr>
        <w:t xml:space="preserve"> Aggregate investment had</w:t>
      </w:r>
      <w:r w:rsidRPr="005C055A">
        <w:rPr>
          <w:rFonts w:ascii="Times New Roman" w:hAnsi="Times New Roman" w:cs="Times New Roman"/>
          <w:lang w:val="en-US"/>
        </w:rPr>
        <w:t xml:space="preserve"> lower quarter variations from 2012 onwards, as IBGE (2017) reports: 2011, 7.37% of quarterly average variation, 2012, 2%, 2013, 4.85% - a soft recovery -, 2014, - 1.47% and 2015, -10%.</w:t>
      </w:r>
    </w:p>
  </w:footnote>
  <w:footnote w:id="13">
    <w:p w:rsidR="00DE14FD" w:rsidRPr="008E5439" w:rsidRDefault="00DE14FD" w:rsidP="007B1487">
      <w:pPr>
        <w:pStyle w:val="Textodenotaderodap"/>
        <w:jc w:val="both"/>
        <w:rPr>
          <w:rFonts w:ascii="Times New Roman" w:hAnsi="Times New Roman" w:cs="Times New Roman"/>
          <w:lang w:val="en-US"/>
        </w:rPr>
      </w:pPr>
      <w:r w:rsidRPr="002D2426">
        <w:rPr>
          <w:rStyle w:val="Refdenotaderodap"/>
          <w:rFonts w:ascii="Times New Roman" w:hAnsi="Times New Roman" w:cs="Times New Roman"/>
        </w:rPr>
        <w:footnoteRef/>
      </w:r>
      <w:r w:rsidRPr="002D2426">
        <w:rPr>
          <w:rFonts w:ascii="Times New Roman" w:hAnsi="Times New Roman" w:cs="Times New Roman"/>
          <w:lang w:val="en-US"/>
        </w:rPr>
        <w:t xml:space="preserve"> General government circumscribes counties, provinces and Union. However, Union, </w:t>
      </w:r>
      <w:proofErr w:type="spellStart"/>
      <w:r w:rsidRPr="002D2426">
        <w:rPr>
          <w:rFonts w:ascii="Times New Roman" w:hAnsi="Times New Roman" w:cs="Times New Roman"/>
          <w:lang w:val="en-US"/>
        </w:rPr>
        <w:t>i</w:t>
      </w:r>
      <w:proofErr w:type="spellEnd"/>
      <w:r w:rsidR="00154094">
        <w:rPr>
          <w:rFonts w:ascii="Times New Roman" w:hAnsi="Times New Roman" w:cs="Times New Roman"/>
          <w:lang w:val="en-US"/>
        </w:rPr>
        <w:t>.</w:t>
      </w:r>
      <w:r w:rsidRPr="002D2426">
        <w:rPr>
          <w:rFonts w:ascii="Times New Roman" w:hAnsi="Times New Roman" w:cs="Times New Roman"/>
          <w:lang w:val="en-US"/>
        </w:rPr>
        <w:t xml:space="preserve"> e., the Federal government, owns </w:t>
      </w:r>
      <w:proofErr w:type="gramStart"/>
      <w:r w:rsidRPr="002D2426">
        <w:rPr>
          <w:rFonts w:ascii="Times New Roman" w:hAnsi="Times New Roman" w:cs="Times New Roman"/>
          <w:lang w:val="en-US"/>
        </w:rPr>
        <w:t>the clear majority of</w:t>
      </w:r>
      <w:proofErr w:type="gramEnd"/>
      <w:r w:rsidRPr="002D2426">
        <w:rPr>
          <w:rFonts w:ascii="Times New Roman" w:hAnsi="Times New Roman" w:cs="Times New Roman"/>
          <w:lang w:val="en-US"/>
        </w:rPr>
        <w:t xml:space="preserve"> debt. In Brazil, more than 95% of the gross debt was a liability of the Union over 2006-2016.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CCAFE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A27BBA"/>
    <w:multiLevelType w:val="hybridMultilevel"/>
    <w:tmpl w:val="7228FA3E"/>
    <w:lvl w:ilvl="0" w:tplc="7B8AE4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E50D67"/>
    <w:multiLevelType w:val="hybridMultilevel"/>
    <w:tmpl w:val="A96C0AB0"/>
    <w:lvl w:ilvl="0" w:tplc="5E2892C8">
      <w:start w:val="1"/>
      <w:numFmt w:val="bullet"/>
      <w:lvlText w:val="•"/>
      <w:lvlJc w:val="left"/>
      <w:pPr>
        <w:tabs>
          <w:tab w:val="num" w:pos="720"/>
        </w:tabs>
        <w:ind w:left="720" w:hanging="360"/>
      </w:pPr>
      <w:rPr>
        <w:rFonts w:ascii="Times New Roman" w:hAnsi="Times New Roman" w:hint="default"/>
      </w:rPr>
    </w:lvl>
    <w:lvl w:ilvl="1" w:tplc="79788120" w:tentative="1">
      <w:start w:val="1"/>
      <w:numFmt w:val="bullet"/>
      <w:lvlText w:val="•"/>
      <w:lvlJc w:val="left"/>
      <w:pPr>
        <w:tabs>
          <w:tab w:val="num" w:pos="1440"/>
        </w:tabs>
        <w:ind w:left="1440" w:hanging="360"/>
      </w:pPr>
      <w:rPr>
        <w:rFonts w:ascii="Times New Roman" w:hAnsi="Times New Roman" w:hint="default"/>
      </w:rPr>
    </w:lvl>
    <w:lvl w:ilvl="2" w:tplc="07B890EC" w:tentative="1">
      <w:start w:val="1"/>
      <w:numFmt w:val="bullet"/>
      <w:lvlText w:val="•"/>
      <w:lvlJc w:val="left"/>
      <w:pPr>
        <w:tabs>
          <w:tab w:val="num" w:pos="2160"/>
        </w:tabs>
        <w:ind w:left="2160" w:hanging="360"/>
      </w:pPr>
      <w:rPr>
        <w:rFonts w:ascii="Times New Roman" w:hAnsi="Times New Roman" w:hint="default"/>
      </w:rPr>
    </w:lvl>
    <w:lvl w:ilvl="3" w:tplc="35D21F58" w:tentative="1">
      <w:start w:val="1"/>
      <w:numFmt w:val="bullet"/>
      <w:lvlText w:val="•"/>
      <w:lvlJc w:val="left"/>
      <w:pPr>
        <w:tabs>
          <w:tab w:val="num" w:pos="2880"/>
        </w:tabs>
        <w:ind w:left="2880" w:hanging="360"/>
      </w:pPr>
      <w:rPr>
        <w:rFonts w:ascii="Times New Roman" w:hAnsi="Times New Roman" w:hint="default"/>
      </w:rPr>
    </w:lvl>
    <w:lvl w:ilvl="4" w:tplc="E788D2F0" w:tentative="1">
      <w:start w:val="1"/>
      <w:numFmt w:val="bullet"/>
      <w:lvlText w:val="•"/>
      <w:lvlJc w:val="left"/>
      <w:pPr>
        <w:tabs>
          <w:tab w:val="num" w:pos="3600"/>
        </w:tabs>
        <w:ind w:left="3600" w:hanging="360"/>
      </w:pPr>
      <w:rPr>
        <w:rFonts w:ascii="Times New Roman" w:hAnsi="Times New Roman" w:hint="default"/>
      </w:rPr>
    </w:lvl>
    <w:lvl w:ilvl="5" w:tplc="CB5C2618" w:tentative="1">
      <w:start w:val="1"/>
      <w:numFmt w:val="bullet"/>
      <w:lvlText w:val="•"/>
      <w:lvlJc w:val="left"/>
      <w:pPr>
        <w:tabs>
          <w:tab w:val="num" w:pos="4320"/>
        </w:tabs>
        <w:ind w:left="4320" w:hanging="360"/>
      </w:pPr>
      <w:rPr>
        <w:rFonts w:ascii="Times New Roman" w:hAnsi="Times New Roman" w:hint="default"/>
      </w:rPr>
    </w:lvl>
    <w:lvl w:ilvl="6" w:tplc="F1001584" w:tentative="1">
      <w:start w:val="1"/>
      <w:numFmt w:val="bullet"/>
      <w:lvlText w:val="•"/>
      <w:lvlJc w:val="left"/>
      <w:pPr>
        <w:tabs>
          <w:tab w:val="num" w:pos="5040"/>
        </w:tabs>
        <w:ind w:left="5040" w:hanging="360"/>
      </w:pPr>
      <w:rPr>
        <w:rFonts w:ascii="Times New Roman" w:hAnsi="Times New Roman" w:hint="default"/>
      </w:rPr>
    </w:lvl>
    <w:lvl w:ilvl="7" w:tplc="AB4640EA" w:tentative="1">
      <w:start w:val="1"/>
      <w:numFmt w:val="bullet"/>
      <w:lvlText w:val="•"/>
      <w:lvlJc w:val="left"/>
      <w:pPr>
        <w:tabs>
          <w:tab w:val="num" w:pos="5760"/>
        </w:tabs>
        <w:ind w:left="5760" w:hanging="360"/>
      </w:pPr>
      <w:rPr>
        <w:rFonts w:ascii="Times New Roman" w:hAnsi="Times New Roman" w:hint="default"/>
      </w:rPr>
    </w:lvl>
    <w:lvl w:ilvl="8" w:tplc="E118E2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372841"/>
    <w:multiLevelType w:val="hybridMultilevel"/>
    <w:tmpl w:val="B358B6F4"/>
    <w:lvl w:ilvl="0" w:tplc="AA6A1E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D423C5"/>
    <w:multiLevelType w:val="hybridMultilevel"/>
    <w:tmpl w:val="6D14EF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63A1DC0"/>
    <w:multiLevelType w:val="hybridMultilevel"/>
    <w:tmpl w:val="735049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D0"/>
    <w:rsid w:val="000001EF"/>
    <w:rsid w:val="00000338"/>
    <w:rsid w:val="00000575"/>
    <w:rsid w:val="00000D74"/>
    <w:rsid w:val="0000263F"/>
    <w:rsid w:val="0000276A"/>
    <w:rsid w:val="0000286E"/>
    <w:rsid w:val="00003743"/>
    <w:rsid w:val="00004317"/>
    <w:rsid w:val="00004539"/>
    <w:rsid w:val="000047C6"/>
    <w:rsid w:val="00004DE4"/>
    <w:rsid w:val="000051F5"/>
    <w:rsid w:val="00005886"/>
    <w:rsid w:val="00005E85"/>
    <w:rsid w:val="00006420"/>
    <w:rsid w:val="00006D0D"/>
    <w:rsid w:val="00007164"/>
    <w:rsid w:val="000079AD"/>
    <w:rsid w:val="00010707"/>
    <w:rsid w:val="00011BDB"/>
    <w:rsid w:val="00012D05"/>
    <w:rsid w:val="00013129"/>
    <w:rsid w:val="00013C7E"/>
    <w:rsid w:val="00013EFF"/>
    <w:rsid w:val="0001403E"/>
    <w:rsid w:val="000144DA"/>
    <w:rsid w:val="00014621"/>
    <w:rsid w:val="00014A00"/>
    <w:rsid w:val="00014BF5"/>
    <w:rsid w:val="0001575B"/>
    <w:rsid w:val="00015B5B"/>
    <w:rsid w:val="00015C3A"/>
    <w:rsid w:val="00015CB4"/>
    <w:rsid w:val="000179D3"/>
    <w:rsid w:val="00020236"/>
    <w:rsid w:val="0002034F"/>
    <w:rsid w:val="00020903"/>
    <w:rsid w:val="00020AE1"/>
    <w:rsid w:val="000211C5"/>
    <w:rsid w:val="000212F1"/>
    <w:rsid w:val="00021CF9"/>
    <w:rsid w:val="000227F2"/>
    <w:rsid w:val="00022FA9"/>
    <w:rsid w:val="0002347B"/>
    <w:rsid w:val="00023DD2"/>
    <w:rsid w:val="000244A1"/>
    <w:rsid w:val="0002489F"/>
    <w:rsid w:val="00024C89"/>
    <w:rsid w:val="0002517F"/>
    <w:rsid w:val="0002543E"/>
    <w:rsid w:val="00025645"/>
    <w:rsid w:val="000256CE"/>
    <w:rsid w:val="00025B0D"/>
    <w:rsid w:val="00026376"/>
    <w:rsid w:val="000266F4"/>
    <w:rsid w:val="00026992"/>
    <w:rsid w:val="000270A7"/>
    <w:rsid w:val="00027924"/>
    <w:rsid w:val="00030065"/>
    <w:rsid w:val="00030895"/>
    <w:rsid w:val="00030C9D"/>
    <w:rsid w:val="000316B0"/>
    <w:rsid w:val="0003193E"/>
    <w:rsid w:val="00031E7A"/>
    <w:rsid w:val="000328E8"/>
    <w:rsid w:val="00032BB7"/>
    <w:rsid w:val="00032D3D"/>
    <w:rsid w:val="0003315E"/>
    <w:rsid w:val="00033418"/>
    <w:rsid w:val="0003355C"/>
    <w:rsid w:val="00033D42"/>
    <w:rsid w:val="00033EA8"/>
    <w:rsid w:val="00034D0C"/>
    <w:rsid w:val="00035714"/>
    <w:rsid w:val="0003610D"/>
    <w:rsid w:val="00036F6B"/>
    <w:rsid w:val="00037020"/>
    <w:rsid w:val="000370BC"/>
    <w:rsid w:val="00037313"/>
    <w:rsid w:val="0003739F"/>
    <w:rsid w:val="00040301"/>
    <w:rsid w:val="000404B0"/>
    <w:rsid w:val="00040986"/>
    <w:rsid w:val="00040A8C"/>
    <w:rsid w:val="00040B09"/>
    <w:rsid w:val="0004150C"/>
    <w:rsid w:val="00041706"/>
    <w:rsid w:val="000420DD"/>
    <w:rsid w:val="00042BF3"/>
    <w:rsid w:val="0004315E"/>
    <w:rsid w:val="00043539"/>
    <w:rsid w:val="0004356B"/>
    <w:rsid w:val="00043955"/>
    <w:rsid w:val="00043EDE"/>
    <w:rsid w:val="00043F24"/>
    <w:rsid w:val="00044233"/>
    <w:rsid w:val="000446E3"/>
    <w:rsid w:val="0004560D"/>
    <w:rsid w:val="00045DE0"/>
    <w:rsid w:val="0004646D"/>
    <w:rsid w:val="00046500"/>
    <w:rsid w:val="0004737E"/>
    <w:rsid w:val="00047640"/>
    <w:rsid w:val="00047CF7"/>
    <w:rsid w:val="00047DBA"/>
    <w:rsid w:val="00047F6E"/>
    <w:rsid w:val="000507F3"/>
    <w:rsid w:val="000508FF"/>
    <w:rsid w:val="00050929"/>
    <w:rsid w:val="00051293"/>
    <w:rsid w:val="000513F9"/>
    <w:rsid w:val="00051480"/>
    <w:rsid w:val="00051541"/>
    <w:rsid w:val="00051583"/>
    <w:rsid w:val="00051A66"/>
    <w:rsid w:val="000524FF"/>
    <w:rsid w:val="00053141"/>
    <w:rsid w:val="0005336C"/>
    <w:rsid w:val="0005443F"/>
    <w:rsid w:val="00054473"/>
    <w:rsid w:val="00054533"/>
    <w:rsid w:val="000545BA"/>
    <w:rsid w:val="000548E3"/>
    <w:rsid w:val="00054A25"/>
    <w:rsid w:val="00055190"/>
    <w:rsid w:val="000558FB"/>
    <w:rsid w:val="00055A3A"/>
    <w:rsid w:val="00055E04"/>
    <w:rsid w:val="00056060"/>
    <w:rsid w:val="00056111"/>
    <w:rsid w:val="00056406"/>
    <w:rsid w:val="000564C6"/>
    <w:rsid w:val="00057917"/>
    <w:rsid w:val="00057ABB"/>
    <w:rsid w:val="00057B8C"/>
    <w:rsid w:val="00057DF6"/>
    <w:rsid w:val="00057FE8"/>
    <w:rsid w:val="00060206"/>
    <w:rsid w:val="00060ABD"/>
    <w:rsid w:val="0006157A"/>
    <w:rsid w:val="000617ED"/>
    <w:rsid w:val="00061A3D"/>
    <w:rsid w:val="0006202A"/>
    <w:rsid w:val="000621F9"/>
    <w:rsid w:val="0006264D"/>
    <w:rsid w:val="00062809"/>
    <w:rsid w:val="00062833"/>
    <w:rsid w:val="00062CA0"/>
    <w:rsid w:val="00062EE2"/>
    <w:rsid w:val="000630EE"/>
    <w:rsid w:val="0006350B"/>
    <w:rsid w:val="00063F48"/>
    <w:rsid w:val="00064992"/>
    <w:rsid w:val="00064BFB"/>
    <w:rsid w:val="00064D26"/>
    <w:rsid w:val="0006546A"/>
    <w:rsid w:val="000658DB"/>
    <w:rsid w:val="0006593F"/>
    <w:rsid w:val="00065B5B"/>
    <w:rsid w:val="0006611E"/>
    <w:rsid w:val="000661F3"/>
    <w:rsid w:val="00066857"/>
    <w:rsid w:val="00066ACD"/>
    <w:rsid w:val="00066B50"/>
    <w:rsid w:val="00066E57"/>
    <w:rsid w:val="0006706F"/>
    <w:rsid w:val="000670EC"/>
    <w:rsid w:val="000674D2"/>
    <w:rsid w:val="00067518"/>
    <w:rsid w:val="00067624"/>
    <w:rsid w:val="0006779C"/>
    <w:rsid w:val="00067C6E"/>
    <w:rsid w:val="0007051D"/>
    <w:rsid w:val="000706C0"/>
    <w:rsid w:val="0007072B"/>
    <w:rsid w:val="00070D1D"/>
    <w:rsid w:val="00071716"/>
    <w:rsid w:val="00071C35"/>
    <w:rsid w:val="00071F5B"/>
    <w:rsid w:val="000726A8"/>
    <w:rsid w:val="00072A87"/>
    <w:rsid w:val="00072F2C"/>
    <w:rsid w:val="00072F78"/>
    <w:rsid w:val="00073286"/>
    <w:rsid w:val="0007364E"/>
    <w:rsid w:val="00073B5C"/>
    <w:rsid w:val="00073CD1"/>
    <w:rsid w:val="00073E25"/>
    <w:rsid w:val="000742FE"/>
    <w:rsid w:val="00075B73"/>
    <w:rsid w:val="00075D41"/>
    <w:rsid w:val="000764FF"/>
    <w:rsid w:val="000773D1"/>
    <w:rsid w:val="0007771A"/>
    <w:rsid w:val="000779BE"/>
    <w:rsid w:val="00077CAD"/>
    <w:rsid w:val="0008032B"/>
    <w:rsid w:val="000809FD"/>
    <w:rsid w:val="000813CC"/>
    <w:rsid w:val="000818EB"/>
    <w:rsid w:val="00082AFA"/>
    <w:rsid w:val="00082B9A"/>
    <w:rsid w:val="00082D93"/>
    <w:rsid w:val="00082DF0"/>
    <w:rsid w:val="000830CC"/>
    <w:rsid w:val="000836CF"/>
    <w:rsid w:val="00084659"/>
    <w:rsid w:val="000851C8"/>
    <w:rsid w:val="000852EF"/>
    <w:rsid w:val="0008542C"/>
    <w:rsid w:val="00085594"/>
    <w:rsid w:val="000858CD"/>
    <w:rsid w:val="00085FE5"/>
    <w:rsid w:val="000865DB"/>
    <w:rsid w:val="00086FBC"/>
    <w:rsid w:val="000875F6"/>
    <w:rsid w:val="00087742"/>
    <w:rsid w:val="000879E1"/>
    <w:rsid w:val="000903DD"/>
    <w:rsid w:val="00090775"/>
    <w:rsid w:val="00090CE9"/>
    <w:rsid w:val="000913B2"/>
    <w:rsid w:val="0009143F"/>
    <w:rsid w:val="0009173A"/>
    <w:rsid w:val="000920C0"/>
    <w:rsid w:val="00092363"/>
    <w:rsid w:val="00092F5B"/>
    <w:rsid w:val="00093393"/>
    <w:rsid w:val="0009366B"/>
    <w:rsid w:val="00093B02"/>
    <w:rsid w:val="00093E2C"/>
    <w:rsid w:val="000944CF"/>
    <w:rsid w:val="00094AAE"/>
    <w:rsid w:val="00094D5D"/>
    <w:rsid w:val="00094D7D"/>
    <w:rsid w:val="00094DB5"/>
    <w:rsid w:val="000954B5"/>
    <w:rsid w:val="00095C83"/>
    <w:rsid w:val="00096AD7"/>
    <w:rsid w:val="00097027"/>
    <w:rsid w:val="000972F5"/>
    <w:rsid w:val="000979A8"/>
    <w:rsid w:val="000A05C9"/>
    <w:rsid w:val="000A0616"/>
    <w:rsid w:val="000A0744"/>
    <w:rsid w:val="000A0DBD"/>
    <w:rsid w:val="000A1053"/>
    <w:rsid w:val="000A1591"/>
    <w:rsid w:val="000A162A"/>
    <w:rsid w:val="000A1670"/>
    <w:rsid w:val="000A30DA"/>
    <w:rsid w:val="000A3308"/>
    <w:rsid w:val="000A4073"/>
    <w:rsid w:val="000A44EC"/>
    <w:rsid w:val="000A4D3B"/>
    <w:rsid w:val="000A4FAA"/>
    <w:rsid w:val="000A5876"/>
    <w:rsid w:val="000A5A87"/>
    <w:rsid w:val="000A5F40"/>
    <w:rsid w:val="000A647B"/>
    <w:rsid w:val="000A7ED2"/>
    <w:rsid w:val="000B0A15"/>
    <w:rsid w:val="000B173C"/>
    <w:rsid w:val="000B1867"/>
    <w:rsid w:val="000B1D5F"/>
    <w:rsid w:val="000B27FA"/>
    <w:rsid w:val="000B377F"/>
    <w:rsid w:val="000B379C"/>
    <w:rsid w:val="000B4564"/>
    <w:rsid w:val="000B4B94"/>
    <w:rsid w:val="000B5185"/>
    <w:rsid w:val="000B5AE4"/>
    <w:rsid w:val="000B60C7"/>
    <w:rsid w:val="000B62E1"/>
    <w:rsid w:val="000B7796"/>
    <w:rsid w:val="000B7B0D"/>
    <w:rsid w:val="000B7DE5"/>
    <w:rsid w:val="000C0128"/>
    <w:rsid w:val="000C03A7"/>
    <w:rsid w:val="000C07EC"/>
    <w:rsid w:val="000C1297"/>
    <w:rsid w:val="000C1B64"/>
    <w:rsid w:val="000C1E02"/>
    <w:rsid w:val="000C389A"/>
    <w:rsid w:val="000C38E1"/>
    <w:rsid w:val="000C3AC8"/>
    <w:rsid w:val="000C3E64"/>
    <w:rsid w:val="000C42A9"/>
    <w:rsid w:val="000C433B"/>
    <w:rsid w:val="000C47C5"/>
    <w:rsid w:val="000C4EA0"/>
    <w:rsid w:val="000C5934"/>
    <w:rsid w:val="000C5E8C"/>
    <w:rsid w:val="000C6000"/>
    <w:rsid w:val="000C7089"/>
    <w:rsid w:val="000C79AB"/>
    <w:rsid w:val="000D0CEE"/>
    <w:rsid w:val="000D14CC"/>
    <w:rsid w:val="000D1659"/>
    <w:rsid w:val="000D1969"/>
    <w:rsid w:val="000D1C68"/>
    <w:rsid w:val="000D205A"/>
    <w:rsid w:val="000D2672"/>
    <w:rsid w:val="000D3934"/>
    <w:rsid w:val="000D3DB1"/>
    <w:rsid w:val="000D4753"/>
    <w:rsid w:val="000D4E14"/>
    <w:rsid w:val="000D5034"/>
    <w:rsid w:val="000D51EF"/>
    <w:rsid w:val="000D64E0"/>
    <w:rsid w:val="000D6D5D"/>
    <w:rsid w:val="000D6E0D"/>
    <w:rsid w:val="000D711F"/>
    <w:rsid w:val="000D71EF"/>
    <w:rsid w:val="000D74F5"/>
    <w:rsid w:val="000D7659"/>
    <w:rsid w:val="000E04E0"/>
    <w:rsid w:val="000E0987"/>
    <w:rsid w:val="000E0DEC"/>
    <w:rsid w:val="000E2835"/>
    <w:rsid w:val="000E2919"/>
    <w:rsid w:val="000E36F5"/>
    <w:rsid w:val="000E3BD0"/>
    <w:rsid w:val="000E4094"/>
    <w:rsid w:val="000E4587"/>
    <w:rsid w:val="000E5100"/>
    <w:rsid w:val="000E519B"/>
    <w:rsid w:val="000E5621"/>
    <w:rsid w:val="000E5E33"/>
    <w:rsid w:val="000E68AF"/>
    <w:rsid w:val="000E7E27"/>
    <w:rsid w:val="000F0029"/>
    <w:rsid w:val="000F04CD"/>
    <w:rsid w:val="000F0DA0"/>
    <w:rsid w:val="000F0E19"/>
    <w:rsid w:val="000F1490"/>
    <w:rsid w:val="000F213F"/>
    <w:rsid w:val="000F393D"/>
    <w:rsid w:val="000F3E0F"/>
    <w:rsid w:val="000F4A9A"/>
    <w:rsid w:val="000F4D2E"/>
    <w:rsid w:val="000F4DE6"/>
    <w:rsid w:val="000F4F72"/>
    <w:rsid w:val="000F59E7"/>
    <w:rsid w:val="000F5A1A"/>
    <w:rsid w:val="000F77CD"/>
    <w:rsid w:val="000F7CDD"/>
    <w:rsid w:val="0010072F"/>
    <w:rsid w:val="001015A3"/>
    <w:rsid w:val="00101704"/>
    <w:rsid w:val="001017C0"/>
    <w:rsid w:val="00102D52"/>
    <w:rsid w:val="001033C5"/>
    <w:rsid w:val="00103C60"/>
    <w:rsid w:val="00103CA9"/>
    <w:rsid w:val="00104612"/>
    <w:rsid w:val="00105A13"/>
    <w:rsid w:val="00105E1F"/>
    <w:rsid w:val="0010709B"/>
    <w:rsid w:val="00110217"/>
    <w:rsid w:val="0011191A"/>
    <w:rsid w:val="00112414"/>
    <w:rsid w:val="00112842"/>
    <w:rsid w:val="0011329D"/>
    <w:rsid w:val="00114010"/>
    <w:rsid w:val="001147B8"/>
    <w:rsid w:val="0011492F"/>
    <w:rsid w:val="00114B44"/>
    <w:rsid w:val="001152CC"/>
    <w:rsid w:val="0011571B"/>
    <w:rsid w:val="0011617D"/>
    <w:rsid w:val="00116218"/>
    <w:rsid w:val="00116587"/>
    <w:rsid w:val="00116EEF"/>
    <w:rsid w:val="001171F1"/>
    <w:rsid w:val="00117361"/>
    <w:rsid w:val="00117CED"/>
    <w:rsid w:val="00117FA4"/>
    <w:rsid w:val="001212B3"/>
    <w:rsid w:val="00121C3E"/>
    <w:rsid w:val="00121E9B"/>
    <w:rsid w:val="00121FEC"/>
    <w:rsid w:val="00121FF5"/>
    <w:rsid w:val="0012208A"/>
    <w:rsid w:val="001225F7"/>
    <w:rsid w:val="00122707"/>
    <w:rsid w:val="001234A1"/>
    <w:rsid w:val="00123DA6"/>
    <w:rsid w:val="00124CAF"/>
    <w:rsid w:val="001258E7"/>
    <w:rsid w:val="00125BF1"/>
    <w:rsid w:val="00125F97"/>
    <w:rsid w:val="00126574"/>
    <w:rsid w:val="00126CA0"/>
    <w:rsid w:val="00126E85"/>
    <w:rsid w:val="00127400"/>
    <w:rsid w:val="0012755A"/>
    <w:rsid w:val="00127D47"/>
    <w:rsid w:val="001304A2"/>
    <w:rsid w:val="00130BED"/>
    <w:rsid w:val="00130E12"/>
    <w:rsid w:val="00130FFD"/>
    <w:rsid w:val="00131340"/>
    <w:rsid w:val="001314D6"/>
    <w:rsid w:val="00131A27"/>
    <w:rsid w:val="00131C08"/>
    <w:rsid w:val="00132611"/>
    <w:rsid w:val="00132CED"/>
    <w:rsid w:val="00134A64"/>
    <w:rsid w:val="00134CD4"/>
    <w:rsid w:val="00134DE8"/>
    <w:rsid w:val="00135558"/>
    <w:rsid w:val="0013578B"/>
    <w:rsid w:val="001358CE"/>
    <w:rsid w:val="00135B1A"/>
    <w:rsid w:val="00136130"/>
    <w:rsid w:val="001368E6"/>
    <w:rsid w:val="00137390"/>
    <w:rsid w:val="0013769C"/>
    <w:rsid w:val="001378CD"/>
    <w:rsid w:val="001379A3"/>
    <w:rsid w:val="00137B0D"/>
    <w:rsid w:val="001400FC"/>
    <w:rsid w:val="00140117"/>
    <w:rsid w:val="0014016B"/>
    <w:rsid w:val="001404DB"/>
    <w:rsid w:val="00140A93"/>
    <w:rsid w:val="00140D8C"/>
    <w:rsid w:val="00141FA1"/>
    <w:rsid w:val="00142279"/>
    <w:rsid w:val="00142291"/>
    <w:rsid w:val="00142E9E"/>
    <w:rsid w:val="001437AE"/>
    <w:rsid w:val="00143B7C"/>
    <w:rsid w:val="0014495E"/>
    <w:rsid w:val="00144C11"/>
    <w:rsid w:val="00145BE6"/>
    <w:rsid w:val="00145F00"/>
    <w:rsid w:val="00146048"/>
    <w:rsid w:val="001469AD"/>
    <w:rsid w:val="00146B07"/>
    <w:rsid w:val="001474E8"/>
    <w:rsid w:val="00147CEC"/>
    <w:rsid w:val="00150312"/>
    <w:rsid w:val="001509C9"/>
    <w:rsid w:val="00151146"/>
    <w:rsid w:val="00151230"/>
    <w:rsid w:val="0015152B"/>
    <w:rsid w:val="001521B3"/>
    <w:rsid w:val="001528A8"/>
    <w:rsid w:val="00152A9A"/>
    <w:rsid w:val="00153206"/>
    <w:rsid w:val="001535DC"/>
    <w:rsid w:val="00153BB5"/>
    <w:rsid w:val="00154094"/>
    <w:rsid w:val="0015526A"/>
    <w:rsid w:val="001556A1"/>
    <w:rsid w:val="00155917"/>
    <w:rsid w:val="00155A08"/>
    <w:rsid w:val="00155C54"/>
    <w:rsid w:val="001564CD"/>
    <w:rsid w:val="001565B8"/>
    <w:rsid w:val="001567C4"/>
    <w:rsid w:val="00156824"/>
    <w:rsid w:val="00156AB3"/>
    <w:rsid w:val="00156C35"/>
    <w:rsid w:val="00157099"/>
    <w:rsid w:val="0015729F"/>
    <w:rsid w:val="0015764E"/>
    <w:rsid w:val="00157F0B"/>
    <w:rsid w:val="0016009C"/>
    <w:rsid w:val="001614E6"/>
    <w:rsid w:val="00162ADB"/>
    <w:rsid w:val="00162BD4"/>
    <w:rsid w:val="00162BE5"/>
    <w:rsid w:val="00162D1B"/>
    <w:rsid w:val="00162D99"/>
    <w:rsid w:val="00162EE7"/>
    <w:rsid w:val="001630F6"/>
    <w:rsid w:val="00163E09"/>
    <w:rsid w:val="00163E85"/>
    <w:rsid w:val="00163FE1"/>
    <w:rsid w:val="00164DE6"/>
    <w:rsid w:val="00164E49"/>
    <w:rsid w:val="00164F92"/>
    <w:rsid w:val="0016539D"/>
    <w:rsid w:val="001656E3"/>
    <w:rsid w:val="00165835"/>
    <w:rsid w:val="00165941"/>
    <w:rsid w:val="00166294"/>
    <w:rsid w:val="00166483"/>
    <w:rsid w:val="00166FA7"/>
    <w:rsid w:val="00167BF0"/>
    <w:rsid w:val="00170259"/>
    <w:rsid w:val="0017043A"/>
    <w:rsid w:val="00170CD0"/>
    <w:rsid w:val="001714E6"/>
    <w:rsid w:val="00171E6D"/>
    <w:rsid w:val="001723EE"/>
    <w:rsid w:val="00172FB5"/>
    <w:rsid w:val="00174EB7"/>
    <w:rsid w:val="001752D1"/>
    <w:rsid w:val="00176179"/>
    <w:rsid w:val="00176ECF"/>
    <w:rsid w:val="001777C5"/>
    <w:rsid w:val="00180273"/>
    <w:rsid w:val="0018075C"/>
    <w:rsid w:val="00180EE4"/>
    <w:rsid w:val="00180F1C"/>
    <w:rsid w:val="00181205"/>
    <w:rsid w:val="00181774"/>
    <w:rsid w:val="00182040"/>
    <w:rsid w:val="00182533"/>
    <w:rsid w:val="0018283D"/>
    <w:rsid w:val="00182A03"/>
    <w:rsid w:val="00182A28"/>
    <w:rsid w:val="001831BE"/>
    <w:rsid w:val="001838AF"/>
    <w:rsid w:val="00184A6B"/>
    <w:rsid w:val="00184B68"/>
    <w:rsid w:val="00184E06"/>
    <w:rsid w:val="0018505B"/>
    <w:rsid w:val="00186858"/>
    <w:rsid w:val="00186E07"/>
    <w:rsid w:val="00190301"/>
    <w:rsid w:val="00191305"/>
    <w:rsid w:val="00191395"/>
    <w:rsid w:val="001915A9"/>
    <w:rsid w:val="00192145"/>
    <w:rsid w:val="00193186"/>
    <w:rsid w:val="00194851"/>
    <w:rsid w:val="00194AE1"/>
    <w:rsid w:val="00194E87"/>
    <w:rsid w:val="00195A59"/>
    <w:rsid w:val="00195C73"/>
    <w:rsid w:val="00195C9B"/>
    <w:rsid w:val="00195F16"/>
    <w:rsid w:val="001963CA"/>
    <w:rsid w:val="001972B6"/>
    <w:rsid w:val="00197439"/>
    <w:rsid w:val="0019752A"/>
    <w:rsid w:val="00197E4E"/>
    <w:rsid w:val="001A0250"/>
    <w:rsid w:val="001A0289"/>
    <w:rsid w:val="001A07E9"/>
    <w:rsid w:val="001A097F"/>
    <w:rsid w:val="001A17F8"/>
    <w:rsid w:val="001A1C5C"/>
    <w:rsid w:val="001A3863"/>
    <w:rsid w:val="001A3931"/>
    <w:rsid w:val="001A4168"/>
    <w:rsid w:val="001A470C"/>
    <w:rsid w:val="001A4CA6"/>
    <w:rsid w:val="001A51EA"/>
    <w:rsid w:val="001A5522"/>
    <w:rsid w:val="001A5716"/>
    <w:rsid w:val="001A590A"/>
    <w:rsid w:val="001A7009"/>
    <w:rsid w:val="001A70D4"/>
    <w:rsid w:val="001A7296"/>
    <w:rsid w:val="001A7BE8"/>
    <w:rsid w:val="001B1002"/>
    <w:rsid w:val="001B1279"/>
    <w:rsid w:val="001B1433"/>
    <w:rsid w:val="001B14D0"/>
    <w:rsid w:val="001B1B35"/>
    <w:rsid w:val="001B1F43"/>
    <w:rsid w:val="001B234B"/>
    <w:rsid w:val="001B26F8"/>
    <w:rsid w:val="001B2A97"/>
    <w:rsid w:val="001B2D00"/>
    <w:rsid w:val="001B303E"/>
    <w:rsid w:val="001B32BD"/>
    <w:rsid w:val="001B32E4"/>
    <w:rsid w:val="001B3497"/>
    <w:rsid w:val="001B3A10"/>
    <w:rsid w:val="001B3ECB"/>
    <w:rsid w:val="001B465B"/>
    <w:rsid w:val="001B4664"/>
    <w:rsid w:val="001B48C0"/>
    <w:rsid w:val="001B4DF7"/>
    <w:rsid w:val="001B4E6D"/>
    <w:rsid w:val="001B51F6"/>
    <w:rsid w:val="001B5F52"/>
    <w:rsid w:val="001B6070"/>
    <w:rsid w:val="001B6671"/>
    <w:rsid w:val="001B66BB"/>
    <w:rsid w:val="001B6B60"/>
    <w:rsid w:val="001B6DE0"/>
    <w:rsid w:val="001B760D"/>
    <w:rsid w:val="001B78BC"/>
    <w:rsid w:val="001B7C95"/>
    <w:rsid w:val="001B7CFB"/>
    <w:rsid w:val="001C015B"/>
    <w:rsid w:val="001C0347"/>
    <w:rsid w:val="001C0349"/>
    <w:rsid w:val="001C0A99"/>
    <w:rsid w:val="001C20D4"/>
    <w:rsid w:val="001C21CC"/>
    <w:rsid w:val="001C21E4"/>
    <w:rsid w:val="001C280D"/>
    <w:rsid w:val="001C2E15"/>
    <w:rsid w:val="001C30E2"/>
    <w:rsid w:val="001C348D"/>
    <w:rsid w:val="001C3627"/>
    <w:rsid w:val="001C3AFD"/>
    <w:rsid w:val="001C3E75"/>
    <w:rsid w:val="001C401C"/>
    <w:rsid w:val="001C437A"/>
    <w:rsid w:val="001C47C7"/>
    <w:rsid w:val="001C485B"/>
    <w:rsid w:val="001C4F13"/>
    <w:rsid w:val="001C51DD"/>
    <w:rsid w:val="001C5906"/>
    <w:rsid w:val="001C645E"/>
    <w:rsid w:val="001C651D"/>
    <w:rsid w:val="001C764D"/>
    <w:rsid w:val="001C77EA"/>
    <w:rsid w:val="001C7A8A"/>
    <w:rsid w:val="001D1D00"/>
    <w:rsid w:val="001D20FB"/>
    <w:rsid w:val="001D3023"/>
    <w:rsid w:val="001D3E81"/>
    <w:rsid w:val="001D408C"/>
    <w:rsid w:val="001D4578"/>
    <w:rsid w:val="001D47B3"/>
    <w:rsid w:val="001D517A"/>
    <w:rsid w:val="001D525C"/>
    <w:rsid w:val="001D53C2"/>
    <w:rsid w:val="001D5485"/>
    <w:rsid w:val="001D5861"/>
    <w:rsid w:val="001D6ADF"/>
    <w:rsid w:val="001D6CAF"/>
    <w:rsid w:val="001D7C45"/>
    <w:rsid w:val="001E0464"/>
    <w:rsid w:val="001E13F0"/>
    <w:rsid w:val="001E2037"/>
    <w:rsid w:val="001E2246"/>
    <w:rsid w:val="001E25FA"/>
    <w:rsid w:val="001E2CB9"/>
    <w:rsid w:val="001E3361"/>
    <w:rsid w:val="001E33F5"/>
    <w:rsid w:val="001E3F31"/>
    <w:rsid w:val="001E41A8"/>
    <w:rsid w:val="001E438C"/>
    <w:rsid w:val="001E4A36"/>
    <w:rsid w:val="001E57A2"/>
    <w:rsid w:val="001E6158"/>
    <w:rsid w:val="001E6A0D"/>
    <w:rsid w:val="001E6CE9"/>
    <w:rsid w:val="001E7133"/>
    <w:rsid w:val="001F0B43"/>
    <w:rsid w:val="001F0F76"/>
    <w:rsid w:val="001F1187"/>
    <w:rsid w:val="001F180D"/>
    <w:rsid w:val="001F1E24"/>
    <w:rsid w:val="001F2223"/>
    <w:rsid w:val="001F25AB"/>
    <w:rsid w:val="001F28C5"/>
    <w:rsid w:val="001F28CC"/>
    <w:rsid w:val="001F2C6E"/>
    <w:rsid w:val="001F3525"/>
    <w:rsid w:val="001F3987"/>
    <w:rsid w:val="001F3E0A"/>
    <w:rsid w:val="001F3E3B"/>
    <w:rsid w:val="001F4065"/>
    <w:rsid w:val="001F46B0"/>
    <w:rsid w:val="001F4752"/>
    <w:rsid w:val="001F4B01"/>
    <w:rsid w:val="001F4E3E"/>
    <w:rsid w:val="001F51EA"/>
    <w:rsid w:val="001F5533"/>
    <w:rsid w:val="001F5541"/>
    <w:rsid w:val="001F5B58"/>
    <w:rsid w:val="001F634E"/>
    <w:rsid w:val="001F642A"/>
    <w:rsid w:val="001F67EC"/>
    <w:rsid w:val="001F6F20"/>
    <w:rsid w:val="001F7329"/>
    <w:rsid w:val="001F756D"/>
    <w:rsid w:val="00200161"/>
    <w:rsid w:val="00200682"/>
    <w:rsid w:val="00200909"/>
    <w:rsid w:val="00200CEB"/>
    <w:rsid w:val="002015ED"/>
    <w:rsid w:val="002019E1"/>
    <w:rsid w:val="00201E86"/>
    <w:rsid w:val="00201F6E"/>
    <w:rsid w:val="00202586"/>
    <w:rsid w:val="00203C64"/>
    <w:rsid w:val="002049AD"/>
    <w:rsid w:val="00204CCC"/>
    <w:rsid w:val="00204F77"/>
    <w:rsid w:val="00205589"/>
    <w:rsid w:val="00205C22"/>
    <w:rsid w:val="00205C87"/>
    <w:rsid w:val="00205D6E"/>
    <w:rsid w:val="00205E80"/>
    <w:rsid w:val="00206A28"/>
    <w:rsid w:val="00206B10"/>
    <w:rsid w:val="00206DF0"/>
    <w:rsid w:val="00207246"/>
    <w:rsid w:val="00207498"/>
    <w:rsid w:val="00207E90"/>
    <w:rsid w:val="00210B23"/>
    <w:rsid w:val="00211062"/>
    <w:rsid w:val="0021133F"/>
    <w:rsid w:val="00211795"/>
    <w:rsid w:val="00211CF4"/>
    <w:rsid w:val="00212054"/>
    <w:rsid w:val="00212135"/>
    <w:rsid w:val="00212578"/>
    <w:rsid w:val="00212CFD"/>
    <w:rsid w:val="00212EB8"/>
    <w:rsid w:val="002131EF"/>
    <w:rsid w:val="0021486B"/>
    <w:rsid w:val="00214E9A"/>
    <w:rsid w:val="00215750"/>
    <w:rsid w:val="00215941"/>
    <w:rsid w:val="00215A75"/>
    <w:rsid w:val="0021612D"/>
    <w:rsid w:val="002162C7"/>
    <w:rsid w:val="002163D5"/>
    <w:rsid w:val="00216719"/>
    <w:rsid w:val="00216CD0"/>
    <w:rsid w:val="002202F5"/>
    <w:rsid w:val="00220599"/>
    <w:rsid w:val="002205B5"/>
    <w:rsid w:val="002207BA"/>
    <w:rsid w:val="00220C2B"/>
    <w:rsid w:val="00220F74"/>
    <w:rsid w:val="00221744"/>
    <w:rsid w:val="00222164"/>
    <w:rsid w:val="0022274E"/>
    <w:rsid w:val="00222760"/>
    <w:rsid w:val="00222837"/>
    <w:rsid w:val="002228FF"/>
    <w:rsid w:val="002229C4"/>
    <w:rsid w:val="00223307"/>
    <w:rsid w:val="002236AE"/>
    <w:rsid w:val="00223C95"/>
    <w:rsid w:val="002247F4"/>
    <w:rsid w:val="00225222"/>
    <w:rsid w:val="002252FA"/>
    <w:rsid w:val="00225938"/>
    <w:rsid w:val="00226137"/>
    <w:rsid w:val="002264F0"/>
    <w:rsid w:val="0022660E"/>
    <w:rsid w:val="0022736A"/>
    <w:rsid w:val="00227518"/>
    <w:rsid w:val="002275CA"/>
    <w:rsid w:val="00227ACE"/>
    <w:rsid w:val="00227C3F"/>
    <w:rsid w:val="0023062B"/>
    <w:rsid w:val="00230985"/>
    <w:rsid w:val="002309A8"/>
    <w:rsid w:val="00231680"/>
    <w:rsid w:val="0023286D"/>
    <w:rsid w:val="002331D3"/>
    <w:rsid w:val="00233C0A"/>
    <w:rsid w:val="0023449F"/>
    <w:rsid w:val="00234996"/>
    <w:rsid w:val="00234C8F"/>
    <w:rsid w:val="002350AB"/>
    <w:rsid w:val="00235B0B"/>
    <w:rsid w:val="00235BB8"/>
    <w:rsid w:val="00235E67"/>
    <w:rsid w:val="00236DA5"/>
    <w:rsid w:val="00236F13"/>
    <w:rsid w:val="00237653"/>
    <w:rsid w:val="00237CF8"/>
    <w:rsid w:val="00237ED5"/>
    <w:rsid w:val="0024096F"/>
    <w:rsid w:val="002414F0"/>
    <w:rsid w:val="002430BE"/>
    <w:rsid w:val="0024319D"/>
    <w:rsid w:val="0024338A"/>
    <w:rsid w:val="00243E47"/>
    <w:rsid w:val="00244103"/>
    <w:rsid w:val="00244479"/>
    <w:rsid w:val="002444A6"/>
    <w:rsid w:val="0024493E"/>
    <w:rsid w:val="00244B43"/>
    <w:rsid w:val="00245007"/>
    <w:rsid w:val="002456CE"/>
    <w:rsid w:val="002459DB"/>
    <w:rsid w:val="0024626D"/>
    <w:rsid w:val="00246357"/>
    <w:rsid w:val="002469B0"/>
    <w:rsid w:val="0024709E"/>
    <w:rsid w:val="00247255"/>
    <w:rsid w:val="00247336"/>
    <w:rsid w:val="002476A2"/>
    <w:rsid w:val="0024782B"/>
    <w:rsid w:val="00247A5A"/>
    <w:rsid w:val="00247C47"/>
    <w:rsid w:val="002508DF"/>
    <w:rsid w:val="00250A22"/>
    <w:rsid w:val="00251017"/>
    <w:rsid w:val="00251D2A"/>
    <w:rsid w:val="00251E5B"/>
    <w:rsid w:val="00251FF1"/>
    <w:rsid w:val="00252423"/>
    <w:rsid w:val="00253A87"/>
    <w:rsid w:val="002541D3"/>
    <w:rsid w:val="00254C40"/>
    <w:rsid w:val="00254E23"/>
    <w:rsid w:val="00254EB6"/>
    <w:rsid w:val="00254F67"/>
    <w:rsid w:val="002553AD"/>
    <w:rsid w:val="00256BA7"/>
    <w:rsid w:val="00257169"/>
    <w:rsid w:val="00257273"/>
    <w:rsid w:val="00257849"/>
    <w:rsid w:val="0026031C"/>
    <w:rsid w:val="002608A2"/>
    <w:rsid w:val="002616B9"/>
    <w:rsid w:val="0026219E"/>
    <w:rsid w:val="002623F4"/>
    <w:rsid w:val="002625FB"/>
    <w:rsid w:val="0026285B"/>
    <w:rsid w:val="002634BB"/>
    <w:rsid w:val="00263CBA"/>
    <w:rsid w:val="00263DCC"/>
    <w:rsid w:val="00263F0C"/>
    <w:rsid w:val="002643A5"/>
    <w:rsid w:val="0026471B"/>
    <w:rsid w:val="00264D58"/>
    <w:rsid w:val="00265138"/>
    <w:rsid w:val="00265C9C"/>
    <w:rsid w:val="002663CC"/>
    <w:rsid w:val="0026666A"/>
    <w:rsid w:val="0026714C"/>
    <w:rsid w:val="0027029E"/>
    <w:rsid w:val="00274450"/>
    <w:rsid w:val="002756F9"/>
    <w:rsid w:val="002757F4"/>
    <w:rsid w:val="00275BC8"/>
    <w:rsid w:val="0027673F"/>
    <w:rsid w:val="00276AE2"/>
    <w:rsid w:val="00276CA0"/>
    <w:rsid w:val="00277911"/>
    <w:rsid w:val="00277A4E"/>
    <w:rsid w:val="00277D88"/>
    <w:rsid w:val="00280E5C"/>
    <w:rsid w:val="002814A8"/>
    <w:rsid w:val="00282293"/>
    <w:rsid w:val="0028240E"/>
    <w:rsid w:val="002824E2"/>
    <w:rsid w:val="002826A9"/>
    <w:rsid w:val="0028274B"/>
    <w:rsid w:val="00282902"/>
    <w:rsid w:val="00283193"/>
    <w:rsid w:val="00283419"/>
    <w:rsid w:val="002836B9"/>
    <w:rsid w:val="00284048"/>
    <w:rsid w:val="0028443E"/>
    <w:rsid w:val="00284A8F"/>
    <w:rsid w:val="00284FB4"/>
    <w:rsid w:val="00285272"/>
    <w:rsid w:val="00285E89"/>
    <w:rsid w:val="002863FC"/>
    <w:rsid w:val="00286549"/>
    <w:rsid w:val="00286646"/>
    <w:rsid w:val="00286C41"/>
    <w:rsid w:val="0028714B"/>
    <w:rsid w:val="002874DB"/>
    <w:rsid w:val="002874E0"/>
    <w:rsid w:val="00290130"/>
    <w:rsid w:val="0029075E"/>
    <w:rsid w:val="00290F90"/>
    <w:rsid w:val="00291268"/>
    <w:rsid w:val="0029128A"/>
    <w:rsid w:val="00292A7B"/>
    <w:rsid w:val="00292D34"/>
    <w:rsid w:val="00293078"/>
    <w:rsid w:val="002931EB"/>
    <w:rsid w:val="002939C0"/>
    <w:rsid w:val="00293C86"/>
    <w:rsid w:val="00293DFF"/>
    <w:rsid w:val="00294780"/>
    <w:rsid w:val="00294B8B"/>
    <w:rsid w:val="00296E02"/>
    <w:rsid w:val="00297D61"/>
    <w:rsid w:val="002A1126"/>
    <w:rsid w:val="002A119D"/>
    <w:rsid w:val="002A1723"/>
    <w:rsid w:val="002A1F42"/>
    <w:rsid w:val="002A3C44"/>
    <w:rsid w:val="002A3C91"/>
    <w:rsid w:val="002A40D8"/>
    <w:rsid w:val="002A44C8"/>
    <w:rsid w:val="002A4D73"/>
    <w:rsid w:val="002A5BFE"/>
    <w:rsid w:val="002A5D26"/>
    <w:rsid w:val="002A5E32"/>
    <w:rsid w:val="002A6984"/>
    <w:rsid w:val="002A6AB8"/>
    <w:rsid w:val="002A73F3"/>
    <w:rsid w:val="002A7F0D"/>
    <w:rsid w:val="002B035E"/>
    <w:rsid w:val="002B062C"/>
    <w:rsid w:val="002B0E41"/>
    <w:rsid w:val="002B1486"/>
    <w:rsid w:val="002B16E9"/>
    <w:rsid w:val="002B1751"/>
    <w:rsid w:val="002B2B68"/>
    <w:rsid w:val="002B2C48"/>
    <w:rsid w:val="002B2E7E"/>
    <w:rsid w:val="002B3519"/>
    <w:rsid w:val="002B38AE"/>
    <w:rsid w:val="002B3964"/>
    <w:rsid w:val="002B39BE"/>
    <w:rsid w:val="002B3AFF"/>
    <w:rsid w:val="002B3D69"/>
    <w:rsid w:val="002B3E2E"/>
    <w:rsid w:val="002B4057"/>
    <w:rsid w:val="002B417F"/>
    <w:rsid w:val="002B507F"/>
    <w:rsid w:val="002B510C"/>
    <w:rsid w:val="002B5204"/>
    <w:rsid w:val="002B5477"/>
    <w:rsid w:val="002B6127"/>
    <w:rsid w:val="002B64AB"/>
    <w:rsid w:val="002B66D6"/>
    <w:rsid w:val="002B6827"/>
    <w:rsid w:val="002B7722"/>
    <w:rsid w:val="002B78C3"/>
    <w:rsid w:val="002B7AE5"/>
    <w:rsid w:val="002B7DCC"/>
    <w:rsid w:val="002B7FEC"/>
    <w:rsid w:val="002C005C"/>
    <w:rsid w:val="002C121C"/>
    <w:rsid w:val="002C1281"/>
    <w:rsid w:val="002C149B"/>
    <w:rsid w:val="002C1882"/>
    <w:rsid w:val="002C2902"/>
    <w:rsid w:val="002C30EE"/>
    <w:rsid w:val="002C391B"/>
    <w:rsid w:val="002C3FEA"/>
    <w:rsid w:val="002C41B0"/>
    <w:rsid w:val="002C496D"/>
    <w:rsid w:val="002C547F"/>
    <w:rsid w:val="002C64C0"/>
    <w:rsid w:val="002C78E8"/>
    <w:rsid w:val="002C7A06"/>
    <w:rsid w:val="002C7D3A"/>
    <w:rsid w:val="002C7F0E"/>
    <w:rsid w:val="002D028B"/>
    <w:rsid w:val="002D0957"/>
    <w:rsid w:val="002D15E7"/>
    <w:rsid w:val="002D1A22"/>
    <w:rsid w:val="002D2426"/>
    <w:rsid w:val="002D2527"/>
    <w:rsid w:val="002D26F3"/>
    <w:rsid w:val="002D298C"/>
    <w:rsid w:val="002D2DDD"/>
    <w:rsid w:val="002D3A5D"/>
    <w:rsid w:val="002D3A63"/>
    <w:rsid w:val="002D4046"/>
    <w:rsid w:val="002D4AF3"/>
    <w:rsid w:val="002D4AF7"/>
    <w:rsid w:val="002D5103"/>
    <w:rsid w:val="002D5985"/>
    <w:rsid w:val="002D69BF"/>
    <w:rsid w:val="002D6DBF"/>
    <w:rsid w:val="002D74E4"/>
    <w:rsid w:val="002D752A"/>
    <w:rsid w:val="002E0C8B"/>
    <w:rsid w:val="002E10C9"/>
    <w:rsid w:val="002E2549"/>
    <w:rsid w:val="002E297D"/>
    <w:rsid w:val="002E315E"/>
    <w:rsid w:val="002E34EE"/>
    <w:rsid w:val="002E43CD"/>
    <w:rsid w:val="002E45AF"/>
    <w:rsid w:val="002E495B"/>
    <w:rsid w:val="002E50E7"/>
    <w:rsid w:val="002E5757"/>
    <w:rsid w:val="002E593F"/>
    <w:rsid w:val="002E5C19"/>
    <w:rsid w:val="002E6D91"/>
    <w:rsid w:val="002E6F36"/>
    <w:rsid w:val="002E75D8"/>
    <w:rsid w:val="002E7C17"/>
    <w:rsid w:val="002E7E6A"/>
    <w:rsid w:val="002F0EEA"/>
    <w:rsid w:val="002F16BA"/>
    <w:rsid w:val="002F174D"/>
    <w:rsid w:val="002F21EC"/>
    <w:rsid w:val="002F28B2"/>
    <w:rsid w:val="002F32E2"/>
    <w:rsid w:val="002F3F90"/>
    <w:rsid w:val="002F41F2"/>
    <w:rsid w:val="002F44C6"/>
    <w:rsid w:val="002F510B"/>
    <w:rsid w:val="002F5CD6"/>
    <w:rsid w:val="002F698F"/>
    <w:rsid w:val="002F6ABA"/>
    <w:rsid w:val="002F6C75"/>
    <w:rsid w:val="002F6F34"/>
    <w:rsid w:val="002F78D4"/>
    <w:rsid w:val="002F7CC9"/>
    <w:rsid w:val="003008B9"/>
    <w:rsid w:val="00300A59"/>
    <w:rsid w:val="0030126C"/>
    <w:rsid w:val="003016A5"/>
    <w:rsid w:val="00302294"/>
    <w:rsid w:val="0030289B"/>
    <w:rsid w:val="00302EA4"/>
    <w:rsid w:val="00303604"/>
    <w:rsid w:val="00303EB7"/>
    <w:rsid w:val="00305386"/>
    <w:rsid w:val="003054D5"/>
    <w:rsid w:val="00305B61"/>
    <w:rsid w:val="00305D25"/>
    <w:rsid w:val="0030672E"/>
    <w:rsid w:val="003068E7"/>
    <w:rsid w:val="00306F39"/>
    <w:rsid w:val="00307877"/>
    <w:rsid w:val="00307F03"/>
    <w:rsid w:val="0031066A"/>
    <w:rsid w:val="0031091B"/>
    <w:rsid w:val="0031112D"/>
    <w:rsid w:val="003118D3"/>
    <w:rsid w:val="00311D06"/>
    <w:rsid w:val="00311F18"/>
    <w:rsid w:val="00312301"/>
    <w:rsid w:val="00312AFA"/>
    <w:rsid w:val="0031300A"/>
    <w:rsid w:val="003139AB"/>
    <w:rsid w:val="00313B6D"/>
    <w:rsid w:val="00313E95"/>
    <w:rsid w:val="003146CB"/>
    <w:rsid w:val="00315629"/>
    <w:rsid w:val="003158BA"/>
    <w:rsid w:val="00315B2E"/>
    <w:rsid w:val="00315D39"/>
    <w:rsid w:val="003161C6"/>
    <w:rsid w:val="003161F5"/>
    <w:rsid w:val="00316501"/>
    <w:rsid w:val="00316831"/>
    <w:rsid w:val="00316AB3"/>
    <w:rsid w:val="00316DCF"/>
    <w:rsid w:val="0031716E"/>
    <w:rsid w:val="00317419"/>
    <w:rsid w:val="003176A5"/>
    <w:rsid w:val="003204C5"/>
    <w:rsid w:val="00320E01"/>
    <w:rsid w:val="00320EB3"/>
    <w:rsid w:val="00321933"/>
    <w:rsid w:val="00322226"/>
    <w:rsid w:val="00322769"/>
    <w:rsid w:val="0032276D"/>
    <w:rsid w:val="00322E0C"/>
    <w:rsid w:val="00322E95"/>
    <w:rsid w:val="00323763"/>
    <w:rsid w:val="003239C7"/>
    <w:rsid w:val="00323AD9"/>
    <w:rsid w:val="0032428F"/>
    <w:rsid w:val="0032452D"/>
    <w:rsid w:val="00324638"/>
    <w:rsid w:val="00324704"/>
    <w:rsid w:val="0032483D"/>
    <w:rsid w:val="003252A5"/>
    <w:rsid w:val="0032663F"/>
    <w:rsid w:val="00326AE8"/>
    <w:rsid w:val="00326AFF"/>
    <w:rsid w:val="00327B40"/>
    <w:rsid w:val="00327E3B"/>
    <w:rsid w:val="003306E0"/>
    <w:rsid w:val="00330BB2"/>
    <w:rsid w:val="0033126A"/>
    <w:rsid w:val="00331F37"/>
    <w:rsid w:val="003326E3"/>
    <w:rsid w:val="00332C25"/>
    <w:rsid w:val="00333B39"/>
    <w:rsid w:val="0033419C"/>
    <w:rsid w:val="0033428F"/>
    <w:rsid w:val="0033449E"/>
    <w:rsid w:val="003346EF"/>
    <w:rsid w:val="0033521C"/>
    <w:rsid w:val="00335303"/>
    <w:rsid w:val="0033580B"/>
    <w:rsid w:val="0033589F"/>
    <w:rsid w:val="003361EC"/>
    <w:rsid w:val="0033622B"/>
    <w:rsid w:val="003364F9"/>
    <w:rsid w:val="00336C0C"/>
    <w:rsid w:val="00337098"/>
    <w:rsid w:val="003414FA"/>
    <w:rsid w:val="003419F9"/>
    <w:rsid w:val="00341BF2"/>
    <w:rsid w:val="00341CFB"/>
    <w:rsid w:val="00341D57"/>
    <w:rsid w:val="00342273"/>
    <w:rsid w:val="003424C3"/>
    <w:rsid w:val="00342523"/>
    <w:rsid w:val="003427FA"/>
    <w:rsid w:val="00342812"/>
    <w:rsid w:val="00342DAB"/>
    <w:rsid w:val="00342F1D"/>
    <w:rsid w:val="00343509"/>
    <w:rsid w:val="0034371A"/>
    <w:rsid w:val="003438B4"/>
    <w:rsid w:val="00344F4A"/>
    <w:rsid w:val="00345E3D"/>
    <w:rsid w:val="00346827"/>
    <w:rsid w:val="003477EB"/>
    <w:rsid w:val="003501AC"/>
    <w:rsid w:val="00350A80"/>
    <w:rsid w:val="00351EC8"/>
    <w:rsid w:val="00352387"/>
    <w:rsid w:val="00352A19"/>
    <w:rsid w:val="00352A90"/>
    <w:rsid w:val="00352F75"/>
    <w:rsid w:val="00353173"/>
    <w:rsid w:val="00353576"/>
    <w:rsid w:val="00353BE4"/>
    <w:rsid w:val="00353DD9"/>
    <w:rsid w:val="00353EED"/>
    <w:rsid w:val="0035413D"/>
    <w:rsid w:val="0035442F"/>
    <w:rsid w:val="0035607E"/>
    <w:rsid w:val="0035743E"/>
    <w:rsid w:val="00357792"/>
    <w:rsid w:val="003577C6"/>
    <w:rsid w:val="00360B65"/>
    <w:rsid w:val="00360D33"/>
    <w:rsid w:val="00361D05"/>
    <w:rsid w:val="00361EE2"/>
    <w:rsid w:val="00362328"/>
    <w:rsid w:val="003626C8"/>
    <w:rsid w:val="003627E1"/>
    <w:rsid w:val="00362BB6"/>
    <w:rsid w:val="00363D21"/>
    <w:rsid w:val="003644FE"/>
    <w:rsid w:val="003650E4"/>
    <w:rsid w:val="00365E5B"/>
    <w:rsid w:val="00366096"/>
    <w:rsid w:val="003678C9"/>
    <w:rsid w:val="00367F51"/>
    <w:rsid w:val="00370058"/>
    <w:rsid w:val="0037090F"/>
    <w:rsid w:val="0037203C"/>
    <w:rsid w:val="00372901"/>
    <w:rsid w:val="003732D8"/>
    <w:rsid w:val="0037346F"/>
    <w:rsid w:val="00376095"/>
    <w:rsid w:val="00376114"/>
    <w:rsid w:val="0037644F"/>
    <w:rsid w:val="00376975"/>
    <w:rsid w:val="003769E8"/>
    <w:rsid w:val="00376EFF"/>
    <w:rsid w:val="003771B9"/>
    <w:rsid w:val="00377BE8"/>
    <w:rsid w:val="00377F02"/>
    <w:rsid w:val="0038014B"/>
    <w:rsid w:val="003806EE"/>
    <w:rsid w:val="003811CC"/>
    <w:rsid w:val="003814FE"/>
    <w:rsid w:val="00381EC2"/>
    <w:rsid w:val="00382C6D"/>
    <w:rsid w:val="00382F07"/>
    <w:rsid w:val="00383135"/>
    <w:rsid w:val="003832EC"/>
    <w:rsid w:val="003835C6"/>
    <w:rsid w:val="003838F8"/>
    <w:rsid w:val="0038390D"/>
    <w:rsid w:val="00383A33"/>
    <w:rsid w:val="00383AF6"/>
    <w:rsid w:val="003846D2"/>
    <w:rsid w:val="003857D5"/>
    <w:rsid w:val="003858DC"/>
    <w:rsid w:val="00385B44"/>
    <w:rsid w:val="003862AB"/>
    <w:rsid w:val="00386622"/>
    <w:rsid w:val="00386AD2"/>
    <w:rsid w:val="00386E55"/>
    <w:rsid w:val="00387043"/>
    <w:rsid w:val="003874E4"/>
    <w:rsid w:val="003877FC"/>
    <w:rsid w:val="00387B54"/>
    <w:rsid w:val="00387C3D"/>
    <w:rsid w:val="00390B0C"/>
    <w:rsid w:val="00390D00"/>
    <w:rsid w:val="0039187A"/>
    <w:rsid w:val="00391CC4"/>
    <w:rsid w:val="00392050"/>
    <w:rsid w:val="00392AEA"/>
    <w:rsid w:val="00392BC0"/>
    <w:rsid w:val="00394610"/>
    <w:rsid w:val="00394BF6"/>
    <w:rsid w:val="0039584B"/>
    <w:rsid w:val="00395864"/>
    <w:rsid w:val="00395E35"/>
    <w:rsid w:val="00397748"/>
    <w:rsid w:val="00397914"/>
    <w:rsid w:val="00397D68"/>
    <w:rsid w:val="003A07E4"/>
    <w:rsid w:val="003A1160"/>
    <w:rsid w:val="003A1554"/>
    <w:rsid w:val="003A3392"/>
    <w:rsid w:val="003A361E"/>
    <w:rsid w:val="003A3853"/>
    <w:rsid w:val="003A4146"/>
    <w:rsid w:val="003A45BA"/>
    <w:rsid w:val="003A4743"/>
    <w:rsid w:val="003A549C"/>
    <w:rsid w:val="003A57FF"/>
    <w:rsid w:val="003A62B7"/>
    <w:rsid w:val="003A688D"/>
    <w:rsid w:val="003A6AF1"/>
    <w:rsid w:val="003A6D7D"/>
    <w:rsid w:val="003A6E0C"/>
    <w:rsid w:val="003A7003"/>
    <w:rsid w:val="003A72ED"/>
    <w:rsid w:val="003A737E"/>
    <w:rsid w:val="003A7517"/>
    <w:rsid w:val="003A77CD"/>
    <w:rsid w:val="003A7A9C"/>
    <w:rsid w:val="003B0638"/>
    <w:rsid w:val="003B0BFB"/>
    <w:rsid w:val="003B189B"/>
    <w:rsid w:val="003B23A1"/>
    <w:rsid w:val="003B2C0B"/>
    <w:rsid w:val="003B2CC2"/>
    <w:rsid w:val="003B3EE3"/>
    <w:rsid w:val="003B41A5"/>
    <w:rsid w:val="003B42F9"/>
    <w:rsid w:val="003B4350"/>
    <w:rsid w:val="003B4D69"/>
    <w:rsid w:val="003B502F"/>
    <w:rsid w:val="003B50FE"/>
    <w:rsid w:val="003B5245"/>
    <w:rsid w:val="003B53E9"/>
    <w:rsid w:val="003B545F"/>
    <w:rsid w:val="003B5BF2"/>
    <w:rsid w:val="003B649A"/>
    <w:rsid w:val="003B6A8E"/>
    <w:rsid w:val="003B6B44"/>
    <w:rsid w:val="003B6C40"/>
    <w:rsid w:val="003B6F9D"/>
    <w:rsid w:val="003B7210"/>
    <w:rsid w:val="003B740E"/>
    <w:rsid w:val="003B749C"/>
    <w:rsid w:val="003B7776"/>
    <w:rsid w:val="003B7AA1"/>
    <w:rsid w:val="003C0431"/>
    <w:rsid w:val="003C0A15"/>
    <w:rsid w:val="003C0B7A"/>
    <w:rsid w:val="003C176A"/>
    <w:rsid w:val="003C1C57"/>
    <w:rsid w:val="003C1EDB"/>
    <w:rsid w:val="003C1FAE"/>
    <w:rsid w:val="003C200C"/>
    <w:rsid w:val="003C2504"/>
    <w:rsid w:val="003C2F43"/>
    <w:rsid w:val="003C42B5"/>
    <w:rsid w:val="003C4353"/>
    <w:rsid w:val="003C4434"/>
    <w:rsid w:val="003C4812"/>
    <w:rsid w:val="003C5CAE"/>
    <w:rsid w:val="003C605A"/>
    <w:rsid w:val="003C6C26"/>
    <w:rsid w:val="003C72C0"/>
    <w:rsid w:val="003C787C"/>
    <w:rsid w:val="003C7EB1"/>
    <w:rsid w:val="003D09A3"/>
    <w:rsid w:val="003D0E5F"/>
    <w:rsid w:val="003D1566"/>
    <w:rsid w:val="003D15D6"/>
    <w:rsid w:val="003D1765"/>
    <w:rsid w:val="003D1ABA"/>
    <w:rsid w:val="003D1E63"/>
    <w:rsid w:val="003D2525"/>
    <w:rsid w:val="003D2698"/>
    <w:rsid w:val="003D2725"/>
    <w:rsid w:val="003D2ABC"/>
    <w:rsid w:val="003D2B1E"/>
    <w:rsid w:val="003D2E19"/>
    <w:rsid w:val="003D3DFC"/>
    <w:rsid w:val="003D57DC"/>
    <w:rsid w:val="003D57F8"/>
    <w:rsid w:val="003D598D"/>
    <w:rsid w:val="003D5A09"/>
    <w:rsid w:val="003D6DD8"/>
    <w:rsid w:val="003D736D"/>
    <w:rsid w:val="003D750A"/>
    <w:rsid w:val="003D7AFB"/>
    <w:rsid w:val="003E0034"/>
    <w:rsid w:val="003E00B5"/>
    <w:rsid w:val="003E0A55"/>
    <w:rsid w:val="003E0F83"/>
    <w:rsid w:val="003E11CC"/>
    <w:rsid w:val="003E207A"/>
    <w:rsid w:val="003E2134"/>
    <w:rsid w:val="003E32B2"/>
    <w:rsid w:val="003E3505"/>
    <w:rsid w:val="003E35FF"/>
    <w:rsid w:val="003E3768"/>
    <w:rsid w:val="003E3819"/>
    <w:rsid w:val="003E3B6F"/>
    <w:rsid w:val="003E3E60"/>
    <w:rsid w:val="003E3F12"/>
    <w:rsid w:val="003E4684"/>
    <w:rsid w:val="003E489E"/>
    <w:rsid w:val="003E6097"/>
    <w:rsid w:val="003E61C2"/>
    <w:rsid w:val="003E677B"/>
    <w:rsid w:val="003E6DA5"/>
    <w:rsid w:val="003F0101"/>
    <w:rsid w:val="003F0120"/>
    <w:rsid w:val="003F0542"/>
    <w:rsid w:val="003F075C"/>
    <w:rsid w:val="003F0818"/>
    <w:rsid w:val="003F0A4E"/>
    <w:rsid w:val="003F0FDB"/>
    <w:rsid w:val="003F1E6C"/>
    <w:rsid w:val="003F20DB"/>
    <w:rsid w:val="003F23D3"/>
    <w:rsid w:val="003F24F1"/>
    <w:rsid w:val="003F251D"/>
    <w:rsid w:val="003F262E"/>
    <w:rsid w:val="003F2FA2"/>
    <w:rsid w:val="003F3896"/>
    <w:rsid w:val="003F3AC8"/>
    <w:rsid w:val="003F3E01"/>
    <w:rsid w:val="003F484F"/>
    <w:rsid w:val="003F4B56"/>
    <w:rsid w:val="003F5510"/>
    <w:rsid w:val="003F5A27"/>
    <w:rsid w:val="003F5F98"/>
    <w:rsid w:val="003F605B"/>
    <w:rsid w:val="003F67BE"/>
    <w:rsid w:val="003F6806"/>
    <w:rsid w:val="003F737E"/>
    <w:rsid w:val="003F75CB"/>
    <w:rsid w:val="003F78E7"/>
    <w:rsid w:val="003F7C81"/>
    <w:rsid w:val="003F7CAB"/>
    <w:rsid w:val="00400406"/>
    <w:rsid w:val="00400513"/>
    <w:rsid w:val="00400B5C"/>
    <w:rsid w:val="00400C7A"/>
    <w:rsid w:val="00401310"/>
    <w:rsid w:val="00401793"/>
    <w:rsid w:val="00401D72"/>
    <w:rsid w:val="0040220F"/>
    <w:rsid w:val="004028CC"/>
    <w:rsid w:val="00403249"/>
    <w:rsid w:val="0040463D"/>
    <w:rsid w:val="004047C1"/>
    <w:rsid w:val="00405E19"/>
    <w:rsid w:val="00406028"/>
    <w:rsid w:val="00406895"/>
    <w:rsid w:val="00406D0E"/>
    <w:rsid w:val="00406D0F"/>
    <w:rsid w:val="00406F2A"/>
    <w:rsid w:val="004073E3"/>
    <w:rsid w:val="004078A6"/>
    <w:rsid w:val="00407978"/>
    <w:rsid w:val="00407F9F"/>
    <w:rsid w:val="00410AAD"/>
    <w:rsid w:val="00411332"/>
    <w:rsid w:val="0041169A"/>
    <w:rsid w:val="00411970"/>
    <w:rsid w:val="00412296"/>
    <w:rsid w:val="00412CA8"/>
    <w:rsid w:val="0041317D"/>
    <w:rsid w:val="0041378B"/>
    <w:rsid w:val="00413A21"/>
    <w:rsid w:val="00413E6E"/>
    <w:rsid w:val="00414125"/>
    <w:rsid w:val="004141FE"/>
    <w:rsid w:val="004143E8"/>
    <w:rsid w:val="0041446E"/>
    <w:rsid w:val="00414981"/>
    <w:rsid w:val="00415641"/>
    <w:rsid w:val="00415BAB"/>
    <w:rsid w:val="00415DFE"/>
    <w:rsid w:val="00415FAA"/>
    <w:rsid w:val="00416727"/>
    <w:rsid w:val="00417114"/>
    <w:rsid w:val="00417929"/>
    <w:rsid w:val="00420316"/>
    <w:rsid w:val="004203CF"/>
    <w:rsid w:val="00420C4D"/>
    <w:rsid w:val="004215E6"/>
    <w:rsid w:val="004219FD"/>
    <w:rsid w:val="00422CB0"/>
    <w:rsid w:val="00422FF6"/>
    <w:rsid w:val="00423846"/>
    <w:rsid w:val="00424D32"/>
    <w:rsid w:val="00425DC6"/>
    <w:rsid w:val="00426627"/>
    <w:rsid w:val="00426C4D"/>
    <w:rsid w:val="004274C7"/>
    <w:rsid w:val="0042786A"/>
    <w:rsid w:val="00427CE5"/>
    <w:rsid w:val="00427D2B"/>
    <w:rsid w:val="00430196"/>
    <w:rsid w:val="004308A8"/>
    <w:rsid w:val="00430A94"/>
    <w:rsid w:val="00430B25"/>
    <w:rsid w:val="00430B58"/>
    <w:rsid w:val="00431713"/>
    <w:rsid w:val="00431829"/>
    <w:rsid w:val="0043191F"/>
    <w:rsid w:val="00431EB2"/>
    <w:rsid w:val="0043242C"/>
    <w:rsid w:val="00432C67"/>
    <w:rsid w:val="00432E92"/>
    <w:rsid w:val="00433E1C"/>
    <w:rsid w:val="00434484"/>
    <w:rsid w:val="00434669"/>
    <w:rsid w:val="00434EA3"/>
    <w:rsid w:val="00435A1B"/>
    <w:rsid w:val="0043680A"/>
    <w:rsid w:val="00436CB3"/>
    <w:rsid w:val="0043763B"/>
    <w:rsid w:val="00440061"/>
    <w:rsid w:val="00440398"/>
    <w:rsid w:val="00441325"/>
    <w:rsid w:val="00441892"/>
    <w:rsid w:val="00441913"/>
    <w:rsid w:val="00441A82"/>
    <w:rsid w:val="00441A9C"/>
    <w:rsid w:val="00442FDD"/>
    <w:rsid w:val="004436F8"/>
    <w:rsid w:val="00443C48"/>
    <w:rsid w:val="004443C5"/>
    <w:rsid w:val="00444557"/>
    <w:rsid w:val="00444F56"/>
    <w:rsid w:val="00446999"/>
    <w:rsid w:val="004474A5"/>
    <w:rsid w:val="00447AD4"/>
    <w:rsid w:val="00450602"/>
    <w:rsid w:val="00450DF9"/>
    <w:rsid w:val="00450FDE"/>
    <w:rsid w:val="00451284"/>
    <w:rsid w:val="0045175C"/>
    <w:rsid w:val="00452164"/>
    <w:rsid w:val="004527D4"/>
    <w:rsid w:val="0045290F"/>
    <w:rsid w:val="00452D5C"/>
    <w:rsid w:val="00452DE8"/>
    <w:rsid w:val="0045309B"/>
    <w:rsid w:val="00453705"/>
    <w:rsid w:val="004543FD"/>
    <w:rsid w:val="00454A5F"/>
    <w:rsid w:val="00455147"/>
    <w:rsid w:val="00456076"/>
    <w:rsid w:val="00456702"/>
    <w:rsid w:val="004567EA"/>
    <w:rsid w:val="0045752F"/>
    <w:rsid w:val="00457973"/>
    <w:rsid w:val="00460667"/>
    <w:rsid w:val="00460676"/>
    <w:rsid w:val="00460B3D"/>
    <w:rsid w:val="00460F31"/>
    <w:rsid w:val="004610EE"/>
    <w:rsid w:val="00461B93"/>
    <w:rsid w:val="00462577"/>
    <w:rsid w:val="004632FD"/>
    <w:rsid w:val="00463E93"/>
    <w:rsid w:val="00464504"/>
    <w:rsid w:val="00464943"/>
    <w:rsid w:val="00465486"/>
    <w:rsid w:val="004659B8"/>
    <w:rsid w:val="00466920"/>
    <w:rsid w:val="00466C31"/>
    <w:rsid w:val="00466C43"/>
    <w:rsid w:val="00467472"/>
    <w:rsid w:val="004677A6"/>
    <w:rsid w:val="004715BF"/>
    <w:rsid w:val="004723D3"/>
    <w:rsid w:val="00472C9C"/>
    <w:rsid w:val="00472CBC"/>
    <w:rsid w:val="004750EB"/>
    <w:rsid w:val="004764FC"/>
    <w:rsid w:val="0047714B"/>
    <w:rsid w:val="004777A1"/>
    <w:rsid w:val="00480134"/>
    <w:rsid w:val="00480258"/>
    <w:rsid w:val="0048026D"/>
    <w:rsid w:val="00480D35"/>
    <w:rsid w:val="00480F48"/>
    <w:rsid w:val="0048105E"/>
    <w:rsid w:val="004812EE"/>
    <w:rsid w:val="00481D05"/>
    <w:rsid w:val="004820F9"/>
    <w:rsid w:val="00482BA1"/>
    <w:rsid w:val="00482E96"/>
    <w:rsid w:val="004830F9"/>
    <w:rsid w:val="00483734"/>
    <w:rsid w:val="00483918"/>
    <w:rsid w:val="00484035"/>
    <w:rsid w:val="00484F2B"/>
    <w:rsid w:val="004854CA"/>
    <w:rsid w:val="00485D36"/>
    <w:rsid w:val="00485EA1"/>
    <w:rsid w:val="00486202"/>
    <w:rsid w:val="004862BE"/>
    <w:rsid w:val="00486527"/>
    <w:rsid w:val="004867AD"/>
    <w:rsid w:val="00486F09"/>
    <w:rsid w:val="004871CE"/>
    <w:rsid w:val="004908C6"/>
    <w:rsid w:val="00490F92"/>
    <w:rsid w:val="004910B5"/>
    <w:rsid w:val="004911C2"/>
    <w:rsid w:val="00491729"/>
    <w:rsid w:val="00491734"/>
    <w:rsid w:val="00492551"/>
    <w:rsid w:val="00492915"/>
    <w:rsid w:val="00492946"/>
    <w:rsid w:val="00492ACA"/>
    <w:rsid w:val="0049376A"/>
    <w:rsid w:val="00493B94"/>
    <w:rsid w:val="004944D6"/>
    <w:rsid w:val="00494975"/>
    <w:rsid w:val="00495734"/>
    <w:rsid w:val="00495989"/>
    <w:rsid w:val="00495BB5"/>
    <w:rsid w:val="00495D4A"/>
    <w:rsid w:val="004965C3"/>
    <w:rsid w:val="00496A57"/>
    <w:rsid w:val="00496C82"/>
    <w:rsid w:val="004971C9"/>
    <w:rsid w:val="00497558"/>
    <w:rsid w:val="00497A1D"/>
    <w:rsid w:val="004A088C"/>
    <w:rsid w:val="004A0A6D"/>
    <w:rsid w:val="004A0ABE"/>
    <w:rsid w:val="004A1199"/>
    <w:rsid w:val="004A1546"/>
    <w:rsid w:val="004A175A"/>
    <w:rsid w:val="004A18B7"/>
    <w:rsid w:val="004A1A04"/>
    <w:rsid w:val="004A1B43"/>
    <w:rsid w:val="004A1C50"/>
    <w:rsid w:val="004A22E3"/>
    <w:rsid w:val="004A2932"/>
    <w:rsid w:val="004A3D62"/>
    <w:rsid w:val="004A4770"/>
    <w:rsid w:val="004A4932"/>
    <w:rsid w:val="004A516D"/>
    <w:rsid w:val="004A53D5"/>
    <w:rsid w:val="004A55F5"/>
    <w:rsid w:val="004A5881"/>
    <w:rsid w:val="004A6330"/>
    <w:rsid w:val="004A6798"/>
    <w:rsid w:val="004A713F"/>
    <w:rsid w:val="004A71BB"/>
    <w:rsid w:val="004A7868"/>
    <w:rsid w:val="004A78C6"/>
    <w:rsid w:val="004A7D47"/>
    <w:rsid w:val="004B05E5"/>
    <w:rsid w:val="004B0AA1"/>
    <w:rsid w:val="004B0BE5"/>
    <w:rsid w:val="004B2356"/>
    <w:rsid w:val="004B2AFC"/>
    <w:rsid w:val="004B3352"/>
    <w:rsid w:val="004B362B"/>
    <w:rsid w:val="004B3A4C"/>
    <w:rsid w:val="004B3CA7"/>
    <w:rsid w:val="004B425D"/>
    <w:rsid w:val="004B429F"/>
    <w:rsid w:val="004B4487"/>
    <w:rsid w:val="004B4C4D"/>
    <w:rsid w:val="004B55A6"/>
    <w:rsid w:val="004B55F0"/>
    <w:rsid w:val="004B70D1"/>
    <w:rsid w:val="004B7F24"/>
    <w:rsid w:val="004C0732"/>
    <w:rsid w:val="004C107F"/>
    <w:rsid w:val="004C1405"/>
    <w:rsid w:val="004C152D"/>
    <w:rsid w:val="004C234A"/>
    <w:rsid w:val="004C2770"/>
    <w:rsid w:val="004C2F9E"/>
    <w:rsid w:val="004C3539"/>
    <w:rsid w:val="004C414B"/>
    <w:rsid w:val="004C418D"/>
    <w:rsid w:val="004C4845"/>
    <w:rsid w:val="004C4A5C"/>
    <w:rsid w:val="004C4A5D"/>
    <w:rsid w:val="004C4D8D"/>
    <w:rsid w:val="004C60DC"/>
    <w:rsid w:val="004C615C"/>
    <w:rsid w:val="004C6914"/>
    <w:rsid w:val="004C6C17"/>
    <w:rsid w:val="004C7736"/>
    <w:rsid w:val="004C79CE"/>
    <w:rsid w:val="004D09D2"/>
    <w:rsid w:val="004D1068"/>
    <w:rsid w:val="004D15A0"/>
    <w:rsid w:val="004D17C9"/>
    <w:rsid w:val="004D201E"/>
    <w:rsid w:val="004D2412"/>
    <w:rsid w:val="004D2E1F"/>
    <w:rsid w:val="004D4208"/>
    <w:rsid w:val="004D42B1"/>
    <w:rsid w:val="004D4567"/>
    <w:rsid w:val="004D46E7"/>
    <w:rsid w:val="004D54BF"/>
    <w:rsid w:val="004D56D1"/>
    <w:rsid w:val="004D5AB3"/>
    <w:rsid w:val="004D60AB"/>
    <w:rsid w:val="004D6258"/>
    <w:rsid w:val="004D6633"/>
    <w:rsid w:val="004D66BC"/>
    <w:rsid w:val="004D7249"/>
    <w:rsid w:val="004D7701"/>
    <w:rsid w:val="004D7CA4"/>
    <w:rsid w:val="004E0328"/>
    <w:rsid w:val="004E0A26"/>
    <w:rsid w:val="004E0DD7"/>
    <w:rsid w:val="004E1693"/>
    <w:rsid w:val="004E17C2"/>
    <w:rsid w:val="004E2B91"/>
    <w:rsid w:val="004E3889"/>
    <w:rsid w:val="004E3BE9"/>
    <w:rsid w:val="004E4BE8"/>
    <w:rsid w:val="004E5432"/>
    <w:rsid w:val="004E6859"/>
    <w:rsid w:val="004E726F"/>
    <w:rsid w:val="004E74EF"/>
    <w:rsid w:val="004E77CC"/>
    <w:rsid w:val="004F0223"/>
    <w:rsid w:val="004F0FF1"/>
    <w:rsid w:val="004F12C3"/>
    <w:rsid w:val="004F1435"/>
    <w:rsid w:val="004F1563"/>
    <w:rsid w:val="004F1646"/>
    <w:rsid w:val="004F17AE"/>
    <w:rsid w:val="004F2593"/>
    <w:rsid w:val="004F2AE1"/>
    <w:rsid w:val="004F2C9E"/>
    <w:rsid w:val="004F42FF"/>
    <w:rsid w:val="004F4D77"/>
    <w:rsid w:val="004F54A6"/>
    <w:rsid w:val="004F5994"/>
    <w:rsid w:val="004F5EE7"/>
    <w:rsid w:val="004F66F0"/>
    <w:rsid w:val="004F6F20"/>
    <w:rsid w:val="004F7DA9"/>
    <w:rsid w:val="00500264"/>
    <w:rsid w:val="0050162E"/>
    <w:rsid w:val="00501DEC"/>
    <w:rsid w:val="005022DA"/>
    <w:rsid w:val="00502A58"/>
    <w:rsid w:val="00503943"/>
    <w:rsid w:val="00503A22"/>
    <w:rsid w:val="00504602"/>
    <w:rsid w:val="00504749"/>
    <w:rsid w:val="00504A9D"/>
    <w:rsid w:val="00504F50"/>
    <w:rsid w:val="005051FD"/>
    <w:rsid w:val="0050547C"/>
    <w:rsid w:val="00505878"/>
    <w:rsid w:val="00505ACA"/>
    <w:rsid w:val="00505F37"/>
    <w:rsid w:val="00505F39"/>
    <w:rsid w:val="005062EE"/>
    <w:rsid w:val="00506482"/>
    <w:rsid w:val="0050691D"/>
    <w:rsid w:val="005069D3"/>
    <w:rsid w:val="005076CB"/>
    <w:rsid w:val="0051010C"/>
    <w:rsid w:val="00511325"/>
    <w:rsid w:val="00511F09"/>
    <w:rsid w:val="00512636"/>
    <w:rsid w:val="005132C8"/>
    <w:rsid w:val="0051374F"/>
    <w:rsid w:val="00513A24"/>
    <w:rsid w:val="00514A24"/>
    <w:rsid w:val="005151F2"/>
    <w:rsid w:val="00515C28"/>
    <w:rsid w:val="00515E23"/>
    <w:rsid w:val="00515F4F"/>
    <w:rsid w:val="005161DD"/>
    <w:rsid w:val="00516334"/>
    <w:rsid w:val="00516570"/>
    <w:rsid w:val="005170C7"/>
    <w:rsid w:val="00517BF3"/>
    <w:rsid w:val="00517F1D"/>
    <w:rsid w:val="00517FA3"/>
    <w:rsid w:val="00520132"/>
    <w:rsid w:val="00520180"/>
    <w:rsid w:val="00520388"/>
    <w:rsid w:val="005205F1"/>
    <w:rsid w:val="005207B2"/>
    <w:rsid w:val="0052125A"/>
    <w:rsid w:val="005213A2"/>
    <w:rsid w:val="0052182A"/>
    <w:rsid w:val="005219D3"/>
    <w:rsid w:val="00521B54"/>
    <w:rsid w:val="00521CDE"/>
    <w:rsid w:val="00522016"/>
    <w:rsid w:val="005220D8"/>
    <w:rsid w:val="00522125"/>
    <w:rsid w:val="00522328"/>
    <w:rsid w:val="0052258B"/>
    <w:rsid w:val="00522FC5"/>
    <w:rsid w:val="00523BCD"/>
    <w:rsid w:val="00523C8B"/>
    <w:rsid w:val="00523E8D"/>
    <w:rsid w:val="0052466B"/>
    <w:rsid w:val="0052539C"/>
    <w:rsid w:val="00525BDA"/>
    <w:rsid w:val="00525F1E"/>
    <w:rsid w:val="00526E38"/>
    <w:rsid w:val="00526F82"/>
    <w:rsid w:val="005276F5"/>
    <w:rsid w:val="00527D3E"/>
    <w:rsid w:val="00530385"/>
    <w:rsid w:val="00530749"/>
    <w:rsid w:val="00530DA7"/>
    <w:rsid w:val="00530E99"/>
    <w:rsid w:val="00531A64"/>
    <w:rsid w:val="00531DC5"/>
    <w:rsid w:val="00532A58"/>
    <w:rsid w:val="00532FED"/>
    <w:rsid w:val="005338EE"/>
    <w:rsid w:val="0053438A"/>
    <w:rsid w:val="005355E3"/>
    <w:rsid w:val="005355F8"/>
    <w:rsid w:val="00535EAD"/>
    <w:rsid w:val="00535F43"/>
    <w:rsid w:val="0053662B"/>
    <w:rsid w:val="00540178"/>
    <w:rsid w:val="00540447"/>
    <w:rsid w:val="00540557"/>
    <w:rsid w:val="00540E7A"/>
    <w:rsid w:val="005412C0"/>
    <w:rsid w:val="0054198E"/>
    <w:rsid w:val="00542951"/>
    <w:rsid w:val="005430C4"/>
    <w:rsid w:val="005432DA"/>
    <w:rsid w:val="00543B84"/>
    <w:rsid w:val="00543BF5"/>
    <w:rsid w:val="00544123"/>
    <w:rsid w:val="005442EE"/>
    <w:rsid w:val="00544949"/>
    <w:rsid w:val="00545047"/>
    <w:rsid w:val="005453F9"/>
    <w:rsid w:val="005458F4"/>
    <w:rsid w:val="00546A3D"/>
    <w:rsid w:val="00547862"/>
    <w:rsid w:val="0055079F"/>
    <w:rsid w:val="005508CC"/>
    <w:rsid w:val="00551206"/>
    <w:rsid w:val="00551270"/>
    <w:rsid w:val="0055145F"/>
    <w:rsid w:val="0055177C"/>
    <w:rsid w:val="00552298"/>
    <w:rsid w:val="005522C4"/>
    <w:rsid w:val="005528C6"/>
    <w:rsid w:val="00552D9A"/>
    <w:rsid w:val="00552FAE"/>
    <w:rsid w:val="005532D0"/>
    <w:rsid w:val="005538A9"/>
    <w:rsid w:val="0055430D"/>
    <w:rsid w:val="00555A7A"/>
    <w:rsid w:val="005565AF"/>
    <w:rsid w:val="005570BC"/>
    <w:rsid w:val="0055714C"/>
    <w:rsid w:val="00560EAE"/>
    <w:rsid w:val="0056123F"/>
    <w:rsid w:val="0056124C"/>
    <w:rsid w:val="005613C4"/>
    <w:rsid w:val="00562464"/>
    <w:rsid w:val="005641EE"/>
    <w:rsid w:val="00564258"/>
    <w:rsid w:val="00564B9A"/>
    <w:rsid w:val="00564FC5"/>
    <w:rsid w:val="00565AE0"/>
    <w:rsid w:val="00566384"/>
    <w:rsid w:val="0056667C"/>
    <w:rsid w:val="00566BA2"/>
    <w:rsid w:val="00566BF1"/>
    <w:rsid w:val="005676DD"/>
    <w:rsid w:val="0056771A"/>
    <w:rsid w:val="00567AE8"/>
    <w:rsid w:val="0057025C"/>
    <w:rsid w:val="0057030F"/>
    <w:rsid w:val="005708BE"/>
    <w:rsid w:val="00570A1D"/>
    <w:rsid w:val="00570CEF"/>
    <w:rsid w:val="00570D82"/>
    <w:rsid w:val="0057179A"/>
    <w:rsid w:val="005717D9"/>
    <w:rsid w:val="005730B5"/>
    <w:rsid w:val="0057332D"/>
    <w:rsid w:val="005752D3"/>
    <w:rsid w:val="00575CE5"/>
    <w:rsid w:val="005772AB"/>
    <w:rsid w:val="005776F2"/>
    <w:rsid w:val="00577AB8"/>
    <w:rsid w:val="00577B11"/>
    <w:rsid w:val="00580107"/>
    <w:rsid w:val="005804F7"/>
    <w:rsid w:val="00581448"/>
    <w:rsid w:val="00581BE2"/>
    <w:rsid w:val="00581FE8"/>
    <w:rsid w:val="00582612"/>
    <w:rsid w:val="0058307A"/>
    <w:rsid w:val="00583240"/>
    <w:rsid w:val="00583884"/>
    <w:rsid w:val="00583F81"/>
    <w:rsid w:val="0058445C"/>
    <w:rsid w:val="00584863"/>
    <w:rsid w:val="00584C26"/>
    <w:rsid w:val="00584D2C"/>
    <w:rsid w:val="00584F0C"/>
    <w:rsid w:val="005851EC"/>
    <w:rsid w:val="005861C8"/>
    <w:rsid w:val="0058640E"/>
    <w:rsid w:val="005869A8"/>
    <w:rsid w:val="00586F04"/>
    <w:rsid w:val="005870EE"/>
    <w:rsid w:val="005874F2"/>
    <w:rsid w:val="00587831"/>
    <w:rsid w:val="00587899"/>
    <w:rsid w:val="005879D2"/>
    <w:rsid w:val="00587A12"/>
    <w:rsid w:val="00587E2C"/>
    <w:rsid w:val="005914E0"/>
    <w:rsid w:val="00591939"/>
    <w:rsid w:val="00591A16"/>
    <w:rsid w:val="00591AE1"/>
    <w:rsid w:val="00591B6F"/>
    <w:rsid w:val="00591CBE"/>
    <w:rsid w:val="00591DC0"/>
    <w:rsid w:val="00592707"/>
    <w:rsid w:val="005934C9"/>
    <w:rsid w:val="0059374D"/>
    <w:rsid w:val="00593BAF"/>
    <w:rsid w:val="00593D0A"/>
    <w:rsid w:val="0059447A"/>
    <w:rsid w:val="00594F9E"/>
    <w:rsid w:val="005954BB"/>
    <w:rsid w:val="00595A6B"/>
    <w:rsid w:val="00595CDF"/>
    <w:rsid w:val="005965F0"/>
    <w:rsid w:val="005968B9"/>
    <w:rsid w:val="00596E24"/>
    <w:rsid w:val="00596F17"/>
    <w:rsid w:val="005971AA"/>
    <w:rsid w:val="00597302"/>
    <w:rsid w:val="005973F2"/>
    <w:rsid w:val="00597512"/>
    <w:rsid w:val="005978D7"/>
    <w:rsid w:val="005A1001"/>
    <w:rsid w:val="005A1138"/>
    <w:rsid w:val="005A1BBF"/>
    <w:rsid w:val="005A2781"/>
    <w:rsid w:val="005A29A7"/>
    <w:rsid w:val="005A2BCE"/>
    <w:rsid w:val="005A3A8D"/>
    <w:rsid w:val="005A42E7"/>
    <w:rsid w:val="005A4487"/>
    <w:rsid w:val="005A4E56"/>
    <w:rsid w:val="005A593D"/>
    <w:rsid w:val="005A5E3C"/>
    <w:rsid w:val="005A6BCA"/>
    <w:rsid w:val="005A7033"/>
    <w:rsid w:val="005A758F"/>
    <w:rsid w:val="005A7A12"/>
    <w:rsid w:val="005A7A5F"/>
    <w:rsid w:val="005A7FA8"/>
    <w:rsid w:val="005B0484"/>
    <w:rsid w:val="005B058D"/>
    <w:rsid w:val="005B0C8E"/>
    <w:rsid w:val="005B0D72"/>
    <w:rsid w:val="005B10E8"/>
    <w:rsid w:val="005B10F4"/>
    <w:rsid w:val="005B1346"/>
    <w:rsid w:val="005B1386"/>
    <w:rsid w:val="005B1653"/>
    <w:rsid w:val="005B18EF"/>
    <w:rsid w:val="005B1EE7"/>
    <w:rsid w:val="005B24BF"/>
    <w:rsid w:val="005B24E9"/>
    <w:rsid w:val="005B34CA"/>
    <w:rsid w:val="005B3CCA"/>
    <w:rsid w:val="005B3DE3"/>
    <w:rsid w:val="005B3F2D"/>
    <w:rsid w:val="005B42B3"/>
    <w:rsid w:val="005B4B43"/>
    <w:rsid w:val="005B4D6B"/>
    <w:rsid w:val="005B5663"/>
    <w:rsid w:val="005B5E9F"/>
    <w:rsid w:val="005B62E2"/>
    <w:rsid w:val="005B65D8"/>
    <w:rsid w:val="005B6B1F"/>
    <w:rsid w:val="005B6BDE"/>
    <w:rsid w:val="005B6D7B"/>
    <w:rsid w:val="005B73D8"/>
    <w:rsid w:val="005B7A48"/>
    <w:rsid w:val="005C055A"/>
    <w:rsid w:val="005C07CE"/>
    <w:rsid w:val="005C08E8"/>
    <w:rsid w:val="005C0AF5"/>
    <w:rsid w:val="005C1329"/>
    <w:rsid w:val="005C1B35"/>
    <w:rsid w:val="005C23D4"/>
    <w:rsid w:val="005C3591"/>
    <w:rsid w:val="005C3998"/>
    <w:rsid w:val="005C4981"/>
    <w:rsid w:val="005C4FAF"/>
    <w:rsid w:val="005C5434"/>
    <w:rsid w:val="005C55BA"/>
    <w:rsid w:val="005C5610"/>
    <w:rsid w:val="005C577F"/>
    <w:rsid w:val="005C5859"/>
    <w:rsid w:val="005C598C"/>
    <w:rsid w:val="005C5A52"/>
    <w:rsid w:val="005C66A4"/>
    <w:rsid w:val="005C6BE4"/>
    <w:rsid w:val="005C7681"/>
    <w:rsid w:val="005C7CA8"/>
    <w:rsid w:val="005C7D4B"/>
    <w:rsid w:val="005D0411"/>
    <w:rsid w:val="005D078C"/>
    <w:rsid w:val="005D0C2A"/>
    <w:rsid w:val="005D115A"/>
    <w:rsid w:val="005D1B67"/>
    <w:rsid w:val="005D2447"/>
    <w:rsid w:val="005D2553"/>
    <w:rsid w:val="005D25F6"/>
    <w:rsid w:val="005D2A95"/>
    <w:rsid w:val="005D2C11"/>
    <w:rsid w:val="005D319E"/>
    <w:rsid w:val="005D327C"/>
    <w:rsid w:val="005D36FB"/>
    <w:rsid w:val="005D42B8"/>
    <w:rsid w:val="005D5233"/>
    <w:rsid w:val="005D5C49"/>
    <w:rsid w:val="005D6324"/>
    <w:rsid w:val="005D75AD"/>
    <w:rsid w:val="005D7B11"/>
    <w:rsid w:val="005E0BA4"/>
    <w:rsid w:val="005E11DB"/>
    <w:rsid w:val="005E1408"/>
    <w:rsid w:val="005E2C0D"/>
    <w:rsid w:val="005E32DF"/>
    <w:rsid w:val="005E3E03"/>
    <w:rsid w:val="005E47DC"/>
    <w:rsid w:val="005E480C"/>
    <w:rsid w:val="005E57A1"/>
    <w:rsid w:val="005E584C"/>
    <w:rsid w:val="005E6215"/>
    <w:rsid w:val="005E6843"/>
    <w:rsid w:val="005E6C64"/>
    <w:rsid w:val="005E6D75"/>
    <w:rsid w:val="005E6EAA"/>
    <w:rsid w:val="005E78E0"/>
    <w:rsid w:val="005E7B4B"/>
    <w:rsid w:val="005E7E7C"/>
    <w:rsid w:val="005F00DF"/>
    <w:rsid w:val="005F01C9"/>
    <w:rsid w:val="005F03C7"/>
    <w:rsid w:val="005F04ED"/>
    <w:rsid w:val="005F0591"/>
    <w:rsid w:val="005F07BF"/>
    <w:rsid w:val="005F0DAA"/>
    <w:rsid w:val="005F0F79"/>
    <w:rsid w:val="005F1AF6"/>
    <w:rsid w:val="005F22A9"/>
    <w:rsid w:val="005F264B"/>
    <w:rsid w:val="005F2AFD"/>
    <w:rsid w:val="005F42CB"/>
    <w:rsid w:val="005F4C01"/>
    <w:rsid w:val="005F4D61"/>
    <w:rsid w:val="005F53D4"/>
    <w:rsid w:val="005F568A"/>
    <w:rsid w:val="005F5893"/>
    <w:rsid w:val="005F5965"/>
    <w:rsid w:val="005F5995"/>
    <w:rsid w:val="005F65A2"/>
    <w:rsid w:val="005F6E5A"/>
    <w:rsid w:val="005F7061"/>
    <w:rsid w:val="006002CD"/>
    <w:rsid w:val="00600A82"/>
    <w:rsid w:val="00600C9F"/>
    <w:rsid w:val="00600E37"/>
    <w:rsid w:val="00601DDE"/>
    <w:rsid w:val="00602017"/>
    <w:rsid w:val="006021FD"/>
    <w:rsid w:val="006027A8"/>
    <w:rsid w:val="006029CE"/>
    <w:rsid w:val="00602A1E"/>
    <w:rsid w:val="00603770"/>
    <w:rsid w:val="006049BA"/>
    <w:rsid w:val="00604E4B"/>
    <w:rsid w:val="00605109"/>
    <w:rsid w:val="006052FF"/>
    <w:rsid w:val="006057DE"/>
    <w:rsid w:val="00605E25"/>
    <w:rsid w:val="00605EEE"/>
    <w:rsid w:val="00606414"/>
    <w:rsid w:val="006064E5"/>
    <w:rsid w:val="00606BEA"/>
    <w:rsid w:val="00606E85"/>
    <w:rsid w:val="006104AE"/>
    <w:rsid w:val="00610717"/>
    <w:rsid w:val="006112F3"/>
    <w:rsid w:val="006114E8"/>
    <w:rsid w:val="00611A65"/>
    <w:rsid w:val="00612C45"/>
    <w:rsid w:val="00612C7C"/>
    <w:rsid w:val="00613014"/>
    <w:rsid w:val="00613B25"/>
    <w:rsid w:val="00614997"/>
    <w:rsid w:val="006151A3"/>
    <w:rsid w:val="00615671"/>
    <w:rsid w:val="00615860"/>
    <w:rsid w:val="00615E86"/>
    <w:rsid w:val="00616148"/>
    <w:rsid w:val="00616214"/>
    <w:rsid w:val="006165B0"/>
    <w:rsid w:val="006168A7"/>
    <w:rsid w:val="006168B7"/>
    <w:rsid w:val="00616A70"/>
    <w:rsid w:val="00616C01"/>
    <w:rsid w:val="0062012C"/>
    <w:rsid w:val="00621C51"/>
    <w:rsid w:val="0062260E"/>
    <w:rsid w:val="006230EC"/>
    <w:rsid w:val="006233E2"/>
    <w:rsid w:val="00623C1E"/>
    <w:rsid w:val="00623F8D"/>
    <w:rsid w:val="00624681"/>
    <w:rsid w:val="00624D8C"/>
    <w:rsid w:val="0062554F"/>
    <w:rsid w:val="00625BCF"/>
    <w:rsid w:val="00625C30"/>
    <w:rsid w:val="00625E1C"/>
    <w:rsid w:val="00626045"/>
    <w:rsid w:val="006277B0"/>
    <w:rsid w:val="00627B3E"/>
    <w:rsid w:val="00630A28"/>
    <w:rsid w:val="0063113F"/>
    <w:rsid w:val="006315FB"/>
    <w:rsid w:val="006320C0"/>
    <w:rsid w:val="00632DD4"/>
    <w:rsid w:val="0063370F"/>
    <w:rsid w:val="0063458A"/>
    <w:rsid w:val="00634836"/>
    <w:rsid w:val="00635091"/>
    <w:rsid w:val="006352D9"/>
    <w:rsid w:val="006355D0"/>
    <w:rsid w:val="00635971"/>
    <w:rsid w:val="006364FE"/>
    <w:rsid w:val="0063650B"/>
    <w:rsid w:val="00636773"/>
    <w:rsid w:val="00636AE0"/>
    <w:rsid w:val="00636AEC"/>
    <w:rsid w:val="00636CC6"/>
    <w:rsid w:val="00636EAA"/>
    <w:rsid w:val="00637103"/>
    <w:rsid w:val="00637197"/>
    <w:rsid w:val="00637FCD"/>
    <w:rsid w:val="006400A2"/>
    <w:rsid w:val="006402C7"/>
    <w:rsid w:val="00640F2E"/>
    <w:rsid w:val="00641865"/>
    <w:rsid w:val="00641CAC"/>
    <w:rsid w:val="00641D91"/>
    <w:rsid w:val="00641F5B"/>
    <w:rsid w:val="00642F0D"/>
    <w:rsid w:val="00643A79"/>
    <w:rsid w:val="00643C7F"/>
    <w:rsid w:val="00643C81"/>
    <w:rsid w:val="00644A28"/>
    <w:rsid w:val="00645436"/>
    <w:rsid w:val="0064659B"/>
    <w:rsid w:val="00647271"/>
    <w:rsid w:val="0064753B"/>
    <w:rsid w:val="00647F18"/>
    <w:rsid w:val="0065012F"/>
    <w:rsid w:val="00650281"/>
    <w:rsid w:val="00650365"/>
    <w:rsid w:val="00650DD7"/>
    <w:rsid w:val="0065121B"/>
    <w:rsid w:val="0065145B"/>
    <w:rsid w:val="006518F7"/>
    <w:rsid w:val="0065372C"/>
    <w:rsid w:val="0065402A"/>
    <w:rsid w:val="00654B96"/>
    <w:rsid w:val="0065535B"/>
    <w:rsid w:val="00655440"/>
    <w:rsid w:val="00655ADE"/>
    <w:rsid w:val="006564CC"/>
    <w:rsid w:val="00656669"/>
    <w:rsid w:val="006566A4"/>
    <w:rsid w:val="0065671E"/>
    <w:rsid w:val="006568D2"/>
    <w:rsid w:val="006568DF"/>
    <w:rsid w:val="00656C67"/>
    <w:rsid w:val="00657057"/>
    <w:rsid w:val="006575BD"/>
    <w:rsid w:val="00657D3E"/>
    <w:rsid w:val="00657D65"/>
    <w:rsid w:val="00657E99"/>
    <w:rsid w:val="00657EB6"/>
    <w:rsid w:val="006600EC"/>
    <w:rsid w:val="00660A39"/>
    <w:rsid w:val="00661142"/>
    <w:rsid w:val="00661576"/>
    <w:rsid w:val="00661D70"/>
    <w:rsid w:val="00661E12"/>
    <w:rsid w:val="0066268E"/>
    <w:rsid w:val="00663154"/>
    <w:rsid w:val="006638D9"/>
    <w:rsid w:val="00664D23"/>
    <w:rsid w:val="00664F5A"/>
    <w:rsid w:val="00665037"/>
    <w:rsid w:val="006657FD"/>
    <w:rsid w:val="00665AE5"/>
    <w:rsid w:val="0066614B"/>
    <w:rsid w:val="006662B4"/>
    <w:rsid w:val="00666785"/>
    <w:rsid w:val="00667225"/>
    <w:rsid w:val="00667CF8"/>
    <w:rsid w:val="00671211"/>
    <w:rsid w:val="006715AD"/>
    <w:rsid w:val="00671F59"/>
    <w:rsid w:val="00672129"/>
    <w:rsid w:val="00672300"/>
    <w:rsid w:val="0067238A"/>
    <w:rsid w:val="0067267A"/>
    <w:rsid w:val="00672A11"/>
    <w:rsid w:val="00672A41"/>
    <w:rsid w:val="00673DCD"/>
    <w:rsid w:val="00673DE2"/>
    <w:rsid w:val="00674851"/>
    <w:rsid w:val="00674943"/>
    <w:rsid w:val="00674DB0"/>
    <w:rsid w:val="00674E49"/>
    <w:rsid w:val="0067521F"/>
    <w:rsid w:val="006756B5"/>
    <w:rsid w:val="00675A94"/>
    <w:rsid w:val="00675F16"/>
    <w:rsid w:val="00676499"/>
    <w:rsid w:val="00676733"/>
    <w:rsid w:val="0067699C"/>
    <w:rsid w:val="00676E0D"/>
    <w:rsid w:val="006770CB"/>
    <w:rsid w:val="006800DA"/>
    <w:rsid w:val="006805A5"/>
    <w:rsid w:val="00680E3B"/>
    <w:rsid w:val="00680E77"/>
    <w:rsid w:val="00680F34"/>
    <w:rsid w:val="00681605"/>
    <w:rsid w:val="006816D0"/>
    <w:rsid w:val="00681770"/>
    <w:rsid w:val="00682A85"/>
    <w:rsid w:val="00682B7D"/>
    <w:rsid w:val="00682BAD"/>
    <w:rsid w:val="00682BB8"/>
    <w:rsid w:val="00683044"/>
    <w:rsid w:val="006835EC"/>
    <w:rsid w:val="00683D69"/>
    <w:rsid w:val="00684EB6"/>
    <w:rsid w:val="006852E3"/>
    <w:rsid w:val="006856C4"/>
    <w:rsid w:val="00685B06"/>
    <w:rsid w:val="00686354"/>
    <w:rsid w:val="00686716"/>
    <w:rsid w:val="006870E0"/>
    <w:rsid w:val="006871CC"/>
    <w:rsid w:val="0068767A"/>
    <w:rsid w:val="00690196"/>
    <w:rsid w:val="00690681"/>
    <w:rsid w:val="00690955"/>
    <w:rsid w:val="00690DA5"/>
    <w:rsid w:val="00690FF6"/>
    <w:rsid w:val="0069224C"/>
    <w:rsid w:val="00692ED9"/>
    <w:rsid w:val="00693EF8"/>
    <w:rsid w:val="00694117"/>
    <w:rsid w:val="0069432D"/>
    <w:rsid w:val="006947B1"/>
    <w:rsid w:val="0069538E"/>
    <w:rsid w:val="0069578C"/>
    <w:rsid w:val="00695AC3"/>
    <w:rsid w:val="00695C33"/>
    <w:rsid w:val="00695F03"/>
    <w:rsid w:val="00696475"/>
    <w:rsid w:val="00696B8E"/>
    <w:rsid w:val="00696CB1"/>
    <w:rsid w:val="006979CC"/>
    <w:rsid w:val="006A0088"/>
    <w:rsid w:val="006A167F"/>
    <w:rsid w:val="006A1771"/>
    <w:rsid w:val="006A1F0D"/>
    <w:rsid w:val="006A243B"/>
    <w:rsid w:val="006A276E"/>
    <w:rsid w:val="006A2961"/>
    <w:rsid w:val="006A2D20"/>
    <w:rsid w:val="006A2DB4"/>
    <w:rsid w:val="006A3AC0"/>
    <w:rsid w:val="006A4FC9"/>
    <w:rsid w:val="006A540E"/>
    <w:rsid w:val="006A54EC"/>
    <w:rsid w:val="006A55F3"/>
    <w:rsid w:val="006A5810"/>
    <w:rsid w:val="006A5815"/>
    <w:rsid w:val="006A5F53"/>
    <w:rsid w:val="006A6027"/>
    <w:rsid w:val="006A612D"/>
    <w:rsid w:val="006A6214"/>
    <w:rsid w:val="006A667E"/>
    <w:rsid w:val="006A77DC"/>
    <w:rsid w:val="006A79B2"/>
    <w:rsid w:val="006A7D4E"/>
    <w:rsid w:val="006B0458"/>
    <w:rsid w:val="006B04BD"/>
    <w:rsid w:val="006B05B2"/>
    <w:rsid w:val="006B0AF6"/>
    <w:rsid w:val="006B0D79"/>
    <w:rsid w:val="006B1F2F"/>
    <w:rsid w:val="006B2463"/>
    <w:rsid w:val="006B2707"/>
    <w:rsid w:val="006B28D7"/>
    <w:rsid w:val="006B292D"/>
    <w:rsid w:val="006B2D36"/>
    <w:rsid w:val="006B30DD"/>
    <w:rsid w:val="006B3ED0"/>
    <w:rsid w:val="006B456D"/>
    <w:rsid w:val="006B5419"/>
    <w:rsid w:val="006B6BB3"/>
    <w:rsid w:val="006B6CA7"/>
    <w:rsid w:val="006B70F0"/>
    <w:rsid w:val="006B75A1"/>
    <w:rsid w:val="006B761E"/>
    <w:rsid w:val="006C0A22"/>
    <w:rsid w:val="006C157F"/>
    <w:rsid w:val="006C211C"/>
    <w:rsid w:val="006C25FD"/>
    <w:rsid w:val="006C2630"/>
    <w:rsid w:val="006C36F0"/>
    <w:rsid w:val="006C3B9C"/>
    <w:rsid w:val="006C419B"/>
    <w:rsid w:val="006C46DE"/>
    <w:rsid w:val="006C4703"/>
    <w:rsid w:val="006C4CBC"/>
    <w:rsid w:val="006C543B"/>
    <w:rsid w:val="006C63A5"/>
    <w:rsid w:val="006C6D6C"/>
    <w:rsid w:val="006D09A1"/>
    <w:rsid w:val="006D0C06"/>
    <w:rsid w:val="006D1BE2"/>
    <w:rsid w:val="006D24C4"/>
    <w:rsid w:val="006D2C78"/>
    <w:rsid w:val="006D2C9E"/>
    <w:rsid w:val="006D309E"/>
    <w:rsid w:val="006D3115"/>
    <w:rsid w:val="006D3A87"/>
    <w:rsid w:val="006D4060"/>
    <w:rsid w:val="006D4766"/>
    <w:rsid w:val="006D4894"/>
    <w:rsid w:val="006D4C32"/>
    <w:rsid w:val="006D5A96"/>
    <w:rsid w:val="006D5F7E"/>
    <w:rsid w:val="006D61C4"/>
    <w:rsid w:val="006D67E6"/>
    <w:rsid w:val="006D693F"/>
    <w:rsid w:val="006D6C56"/>
    <w:rsid w:val="006D6DCE"/>
    <w:rsid w:val="006D6EFA"/>
    <w:rsid w:val="006D70BD"/>
    <w:rsid w:val="006D70EC"/>
    <w:rsid w:val="006D75F5"/>
    <w:rsid w:val="006D7687"/>
    <w:rsid w:val="006D7932"/>
    <w:rsid w:val="006E0232"/>
    <w:rsid w:val="006E08FC"/>
    <w:rsid w:val="006E0A56"/>
    <w:rsid w:val="006E1139"/>
    <w:rsid w:val="006E1402"/>
    <w:rsid w:val="006E1A20"/>
    <w:rsid w:val="006E2207"/>
    <w:rsid w:val="006E28F4"/>
    <w:rsid w:val="006E2D4C"/>
    <w:rsid w:val="006E42A1"/>
    <w:rsid w:val="006E42FC"/>
    <w:rsid w:val="006E4416"/>
    <w:rsid w:val="006E48E0"/>
    <w:rsid w:val="006E5AF3"/>
    <w:rsid w:val="006E5F4E"/>
    <w:rsid w:val="006E7C52"/>
    <w:rsid w:val="006E7EE8"/>
    <w:rsid w:val="006E7F01"/>
    <w:rsid w:val="006F023A"/>
    <w:rsid w:val="006F0DAF"/>
    <w:rsid w:val="006F13D6"/>
    <w:rsid w:val="006F151D"/>
    <w:rsid w:val="006F24DD"/>
    <w:rsid w:val="006F2D62"/>
    <w:rsid w:val="006F3218"/>
    <w:rsid w:val="006F386C"/>
    <w:rsid w:val="006F3CB1"/>
    <w:rsid w:val="006F4647"/>
    <w:rsid w:val="006F5C8C"/>
    <w:rsid w:val="006F67D3"/>
    <w:rsid w:val="006F6951"/>
    <w:rsid w:val="006F6A57"/>
    <w:rsid w:val="006F70A9"/>
    <w:rsid w:val="007005B8"/>
    <w:rsid w:val="00700D42"/>
    <w:rsid w:val="00700D46"/>
    <w:rsid w:val="007011AA"/>
    <w:rsid w:val="007015E3"/>
    <w:rsid w:val="0070177F"/>
    <w:rsid w:val="00701CE2"/>
    <w:rsid w:val="00702509"/>
    <w:rsid w:val="00703F60"/>
    <w:rsid w:val="00705051"/>
    <w:rsid w:val="00705ED3"/>
    <w:rsid w:val="0070635E"/>
    <w:rsid w:val="0070636B"/>
    <w:rsid w:val="00706710"/>
    <w:rsid w:val="00707CA1"/>
    <w:rsid w:val="0071095C"/>
    <w:rsid w:val="00710A5D"/>
    <w:rsid w:val="00710BB8"/>
    <w:rsid w:val="0071135B"/>
    <w:rsid w:val="007124A7"/>
    <w:rsid w:val="007132A3"/>
    <w:rsid w:val="0071338F"/>
    <w:rsid w:val="007134EB"/>
    <w:rsid w:val="00713526"/>
    <w:rsid w:val="007137FD"/>
    <w:rsid w:val="00713B86"/>
    <w:rsid w:val="00713DDD"/>
    <w:rsid w:val="00714701"/>
    <w:rsid w:val="0071535E"/>
    <w:rsid w:val="00715B20"/>
    <w:rsid w:val="007162E4"/>
    <w:rsid w:val="00716424"/>
    <w:rsid w:val="007169D6"/>
    <w:rsid w:val="00716C44"/>
    <w:rsid w:val="00717019"/>
    <w:rsid w:val="00717218"/>
    <w:rsid w:val="00720314"/>
    <w:rsid w:val="0072049E"/>
    <w:rsid w:val="00720963"/>
    <w:rsid w:val="00720DFE"/>
    <w:rsid w:val="00720E20"/>
    <w:rsid w:val="0072183F"/>
    <w:rsid w:val="00721AAF"/>
    <w:rsid w:val="007222AA"/>
    <w:rsid w:val="00722440"/>
    <w:rsid w:val="007236CA"/>
    <w:rsid w:val="0072395D"/>
    <w:rsid w:val="00723D85"/>
    <w:rsid w:val="00723F70"/>
    <w:rsid w:val="007248B9"/>
    <w:rsid w:val="00724AEB"/>
    <w:rsid w:val="00724B5D"/>
    <w:rsid w:val="00725FAD"/>
    <w:rsid w:val="00726A62"/>
    <w:rsid w:val="00726AE7"/>
    <w:rsid w:val="00726BD9"/>
    <w:rsid w:val="00727F3E"/>
    <w:rsid w:val="00730FF3"/>
    <w:rsid w:val="00731459"/>
    <w:rsid w:val="00732498"/>
    <w:rsid w:val="007326AC"/>
    <w:rsid w:val="0073279C"/>
    <w:rsid w:val="00732820"/>
    <w:rsid w:val="00732FA2"/>
    <w:rsid w:val="00733511"/>
    <w:rsid w:val="00733626"/>
    <w:rsid w:val="007348A5"/>
    <w:rsid w:val="00734988"/>
    <w:rsid w:val="00734A99"/>
    <w:rsid w:val="00734E89"/>
    <w:rsid w:val="00735767"/>
    <w:rsid w:val="00735D5E"/>
    <w:rsid w:val="00736908"/>
    <w:rsid w:val="00736B03"/>
    <w:rsid w:val="00736B81"/>
    <w:rsid w:val="00736C6F"/>
    <w:rsid w:val="00737D8D"/>
    <w:rsid w:val="00740355"/>
    <w:rsid w:val="007404FC"/>
    <w:rsid w:val="0074091D"/>
    <w:rsid w:val="00740951"/>
    <w:rsid w:val="00740C3C"/>
    <w:rsid w:val="007414B1"/>
    <w:rsid w:val="00741548"/>
    <w:rsid w:val="0074220F"/>
    <w:rsid w:val="00742AF4"/>
    <w:rsid w:val="00742D31"/>
    <w:rsid w:val="00742E9A"/>
    <w:rsid w:val="00743614"/>
    <w:rsid w:val="00743DB8"/>
    <w:rsid w:val="00744095"/>
    <w:rsid w:val="007440B9"/>
    <w:rsid w:val="0074526D"/>
    <w:rsid w:val="007457F0"/>
    <w:rsid w:val="00745E58"/>
    <w:rsid w:val="0074622B"/>
    <w:rsid w:val="00746482"/>
    <w:rsid w:val="00747A1F"/>
    <w:rsid w:val="007503E3"/>
    <w:rsid w:val="00750858"/>
    <w:rsid w:val="007511BD"/>
    <w:rsid w:val="00751827"/>
    <w:rsid w:val="007518F6"/>
    <w:rsid w:val="00751A06"/>
    <w:rsid w:val="007534EF"/>
    <w:rsid w:val="00753746"/>
    <w:rsid w:val="00753DAD"/>
    <w:rsid w:val="007540EE"/>
    <w:rsid w:val="00754211"/>
    <w:rsid w:val="00754677"/>
    <w:rsid w:val="00754866"/>
    <w:rsid w:val="007558E1"/>
    <w:rsid w:val="00755D91"/>
    <w:rsid w:val="00756A6A"/>
    <w:rsid w:val="00757127"/>
    <w:rsid w:val="00757E32"/>
    <w:rsid w:val="00757EBE"/>
    <w:rsid w:val="007602AD"/>
    <w:rsid w:val="00760510"/>
    <w:rsid w:val="00761723"/>
    <w:rsid w:val="00761B23"/>
    <w:rsid w:val="00761ECE"/>
    <w:rsid w:val="0076275A"/>
    <w:rsid w:val="00762E8D"/>
    <w:rsid w:val="0076303E"/>
    <w:rsid w:val="0076325D"/>
    <w:rsid w:val="007635FC"/>
    <w:rsid w:val="007639DC"/>
    <w:rsid w:val="007642EA"/>
    <w:rsid w:val="00764575"/>
    <w:rsid w:val="007648EB"/>
    <w:rsid w:val="00764EBF"/>
    <w:rsid w:val="00766FF4"/>
    <w:rsid w:val="0076716B"/>
    <w:rsid w:val="00770250"/>
    <w:rsid w:val="00771A9A"/>
    <w:rsid w:val="00771E36"/>
    <w:rsid w:val="007722C1"/>
    <w:rsid w:val="00772378"/>
    <w:rsid w:val="007738EE"/>
    <w:rsid w:val="007741C0"/>
    <w:rsid w:val="00774387"/>
    <w:rsid w:val="007745DB"/>
    <w:rsid w:val="00774777"/>
    <w:rsid w:val="00774BE5"/>
    <w:rsid w:val="00774E23"/>
    <w:rsid w:val="00775D26"/>
    <w:rsid w:val="00775E2E"/>
    <w:rsid w:val="007764B4"/>
    <w:rsid w:val="00776A08"/>
    <w:rsid w:val="007772E6"/>
    <w:rsid w:val="00777AAD"/>
    <w:rsid w:val="00780303"/>
    <w:rsid w:val="0078044E"/>
    <w:rsid w:val="00781335"/>
    <w:rsid w:val="007818E8"/>
    <w:rsid w:val="00782865"/>
    <w:rsid w:val="00782973"/>
    <w:rsid w:val="00782ADD"/>
    <w:rsid w:val="00782F7B"/>
    <w:rsid w:val="0078318C"/>
    <w:rsid w:val="00783D8B"/>
    <w:rsid w:val="00784785"/>
    <w:rsid w:val="007848F1"/>
    <w:rsid w:val="00785016"/>
    <w:rsid w:val="00785586"/>
    <w:rsid w:val="00785D33"/>
    <w:rsid w:val="007868D5"/>
    <w:rsid w:val="00786CC2"/>
    <w:rsid w:val="0078743B"/>
    <w:rsid w:val="00787CB3"/>
    <w:rsid w:val="00790188"/>
    <w:rsid w:val="007906A6"/>
    <w:rsid w:val="007910CB"/>
    <w:rsid w:val="00791481"/>
    <w:rsid w:val="00791CEA"/>
    <w:rsid w:val="00791DD5"/>
    <w:rsid w:val="007927D9"/>
    <w:rsid w:val="00792D7B"/>
    <w:rsid w:val="00793246"/>
    <w:rsid w:val="00793C2E"/>
    <w:rsid w:val="00793F9C"/>
    <w:rsid w:val="007940D2"/>
    <w:rsid w:val="0079462D"/>
    <w:rsid w:val="00794D9A"/>
    <w:rsid w:val="007969F1"/>
    <w:rsid w:val="00796BD1"/>
    <w:rsid w:val="007970D4"/>
    <w:rsid w:val="00797145"/>
    <w:rsid w:val="00797915"/>
    <w:rsid w:val="00797CFD"/>
    <w:rsid w:val="007A0177"/>
    <w:rsid w:val="007A049D"/>
    <w:rsid w:val="007A05B7"/>
    <w:rsid w:val="007A0B34"/>
    <w:rsid w:val="007A0D5B"/>
    <w:rsid w:val="007A14BF"/>
    <w:rsid w:val="007A1964"/>
    <w:rsid w:val="007A2199"/>
    <w:rsid w:val="007A21D3"/>
    <w:rsid w:val="007A2498"/>
    <w:rsid w:val="007A25DD"/>
    <w:rsid w:val="007A280A"/>
    <w:rsid w:val="007A28A0"/>
    <w:rsid w:val="007A2A21"/>
    <w:rsid w:val="007A2EF0"/>
    <w:rsid w:val="007A341B"/>
    <w:rsid w:val="007A402E"/>
    <w:rsid w:val="007A42A2"/>
    <w:rsid w:val="007A43B4"/>
    <w:rsid w:val="007A44E5"/>
    <w:rsid w:val="007A4DC4"/>
    <w:rsid w:val="007A58FD"/>
    <w:rsid w:val="007A779A"/>
    <w:rsid w:val="007A7E9F"/>
    <w:rsid w:val="007A7FAB"/>
    <w:rsid w:val="007B020C"/>
    <w:rsid w:val="007B040C"/>
    <w:rsid w:val="007B04A0"/>
    <w:rsid w:val="007B083B"/>
    <w:rsid w:val="007B1487"/>
    <w:rsid w:val="007B1C0A"/>
    <w:rsid w:val="007B1C13"/>
    <w:rsid w:val="007B1FA9"/>
    <w:rsid w:val="007B204F"/>
    <w:rsid w:val="007B23EE"/>
    <w:rsid w:val="007B2A6A"/>
    <w:rsid w:val="007B2D82"/>
    <w:rsid w:val="007B3071"/>
    <w:rsid w:val="007B3AA9"/>
    <w:rsid w:val="007B3B59"/>
    <w:rsid w:val="007B3D73"/>
    <w:rsid w:val="007B4302"/>
    <w:rsid w:val="007B5098"/>
    <w:rsid w:val="007B5537"/>
    <w:rsid w:val="007B58E8"/>
    <w:rsid w:val="007B6048"/>
    <w:rsid w:val="007B6506"/>
    <w:rsid w:val="007B6832"/>
    <w:rsid w:val="007B6989"/>
    <w:rsid w:val="007B7F0D"/>
    <w:rsid w:val="007C01D8"/>
    <w:rsid w:val="007C0354"/>
    <w:rsid w:val="007C04E5"/>
    <w:rsid w:val="007C05CC"/>
    <w:rsid w:val="007C0A9D"/>
    <w:rsid w:val="007C2EC3"/>
    <w:rsid w:val="007C33D4"/>
    <w:rsid w:val="007C4672"/>
    <w:rsid w:val="007C4A9B"/>
    <w:rsid w:val="007C4B6F"/>
    <w:rsid w:val="007C4CDC"/>
    <w:rsid w:val="007C6966"/>
    <w:rsid w:val="007C697A"/>
    <w:rsid w:val="007D0392"/>
    <w:rsid w:val="007D0A2F"/>
    <w:rsid w:val="007D1256"/>
    <w:rsid w:val="007D1272"/>
    <w:rsid w:val="007D160E"/>
    <w:rsid w:val="007D1F2A"/>
    <w:rsid w:val="007D1FB9"/>
    <w:rsid w:val="007D22FC"/>
    <w:rsid w:val="007D25E4"/>
    <w:rsid w:val="007D28F1"/>
    <w:rsid w:val="007D2DF6"/>
    <w:rsid w:val="007D3253"/>
    <w:rsid w:val="007D3489"/>
    <w:rsid w:val="007D3834"/>
    <w:rsid w:val="007D3E47"/>
    <w:rsid w:val="007D3FE4"/>
    <w:rsid w:val="007D427E"/>
    <w:rsid w:val="007D5857"/>
    <w:rsid w:val="007D62F6"/>
    <w:rsid w:val="007D66BA"/>
    <w:rsid w:val="007D700C"/>
    <w:rsid w:val="007D7144"/>
    <w:rsid w:val="007D7F65"/>
    <w:rsid w:val="007E039F"/>
    <w:rsid w:val="007E03D9"/>
    <w:rsid w:val="007E08F8"/>
    <w:rsid w:val="007E0C82"/>
    <w:rsid w:val="007E0D00"/>
    <w:rsid w:val="007E15A5"/>
    <w:rsid w:val="007E169F"/>
    <w:rsid w:val="007E16E1"/>
    <w:rsid w:val="007E1DFA"/>
    <w:rsid w:val="007E2469"/>
    <w:rsid w:val="007E3A05"/>
    <w:rsid w:val="007E3E79"/>
    <w:rsid w:val="007E52A8"/>
    <w:rsid w:val="007E5B3D"/>
    <w:rsid w:val="007E5B6A"/>
    <w:rsid w:val="007E5D6E"/>
    <w:rsid w:val="007E6483"/>
    <w:rsid w:val="007E66A8"/>
    <w:rsid w:val="007E686B"/>
    <w:rsid w:val="007E6BF5"/>
    <w:rsid w:val="007E7107"/>
    <w:rsid w:val="007F16D4"/>
    <w:rsid w:val="007F1739"/>
    <w:rsid w:val="007F1ED5"/>
    <w:rsid w:val="007F2106"/>
    <w:rsid w:val="007F21BF"/>
    <w:rsid w:val="007F2357"/>
    <w:rsid w:val="007F2593"/>
    <w:rsid w:val="007F2AC5"/>
    <w:rsid w:val="007F337A"/>
    <w:rsid w:val="007F3C47"/>
    <w:rsid w:val="007F4860"/>
    <w:rsid w:val="007F4FB3"/>
    <w:rsid w:val="007F54E1"/>
    <w:rsid w:val="007F5C9D"/>
    <w:rsid w:val="007F60AE"/>
    <w:rsid w:val="007F6179"/>
    <w:rsid w:val="007F64FE"/>
    <w:rsid w:val="007F656C"/>
    <w:rsid w:val="007F6823"/>
    <w:rsid w:val="007F6BDA"/>
    <w:rsid w:val="007F6C61"/>
    <w:rsid w:val="00801113"/>
    <w:rsid w:val="008013A7"/>
    <w:rsid w:val="008014BC"/>
    <w:rsid w:val="00801520"/>
    <w:rsid w:val="00801555"/>
    <w:rsid w:val="00801750"/>
    <w:rsid w:val="00801754"/>
    <w:rsid w:val="008018D6"/>
    <w:rsid w:val="008027CD"/>
    <w:rsid w:val="00802892"/>
    <w:rsid w:val="008030EB"/>
    <w:rsid w:val="008033E0"/>
    <w:rsid w:val="008035B0"/>
    <w:rsid w:val="00803B6C"/>
    <w:rsid w:val="00804891"/>
    <w:rsid w:val="00804DB5"/>
    <w:rsid w:val="00804E57"/>
    <w:rsid w:val="00805467"/>
    <w:rsid w:val="00805B6E"/>
    <w:rsid w:val="00805CBF"/>
    <w:rsid w:val="008069CE"/>
    <w:rsid w:val="00806BD7"/>
    <w:rsid w:val="00806DA8"/>
    <w:rsid w:val="0080772A"/>
    <w:rsid w:val="008078DF"/>
    <w:rsid w:val="00807FC2"/>
    <w:rsid w:val="00810C17"/>
    <w:rsid w:val="0081141A"/>
    <w:rsid w:val="00811455"/>
    <w:rsid w:val="008116B8"/>
    <w:rsid w:val="00811733"/>
    <w:rsid w:val="008118EB"/>
    <w:rsid w:val="00811CD0"/>
    <w:rsid w:val="00811E5D"/>
    <w:rsid w:val="00812ED6"/>
    <w:rsid w:val="00812F24"/>
    <w:rsid w:val="00813553"/>
    <w:rsid w:val="0081396A"/>
    <w:rsid w:val="00813B7C"/>
    <w:rsid w:val="00813C58"/>
    <w:rsid w:val="00813F0B"/>
    <w:rsid w:val="008140F2"/>
    <w:rsid w:val="00815AD6"/>
    <w:rsid w:val="00815CE0"/>
    <w:rsid w:val="0081635E"/>
    <w:rsid w:val="0081652D"/>
    <w:rsid w:val="00816D78"/>
    <w:rsid w:val="008176F4"/>
    <w:rsid w:val="00817887"/>
    <w:rsid w:val="00817FB3"/>
    <w:rsid w:val="0082023B"/>
    <w:rsid w:val="008207D8"/>
    <w:rsid w:val="008210C1"/>
    <w:rsid w:val="008217FC"/>
    <w:rsid w:val="00821DF7"/>
    <w:rsid w:val="00822150"/>
    <w:rsid w:val="008226BC"/>
    <w:rsid w:val="00822E67"/>
    <w:rsid w:val="00823286"/>
    <w:rsid w:val="00823EE3"/>
    <w:rsid w:val="00824099"/>
    <w:rsid w:val="0082415E"/>
    <w:rsid w:val="00824648"/>
    <w:rsid w:val="0082499A"/>
    <w:rsid w:val="00825085"/>
    <w:rsid w:val="0082541C"/>
    <w:rsid w:val="008257B4"/>
    <w:rsid w:val="00826C23"/>
    <w:rsid w:val="00826EB8"/>
    <w:rsid w:val="00827715"/>
    <w:rsid w:val="00827CB1"/>
    <w:rsid w:val="008311FB"/>
    <w:rsid w:val="00831412"/>
    <w:rsid w:val="0083190A"/>
    <w:rsid w:val="008323CF"/>
    <w:rsid w:val="00832A4E"/>
    <w:rsid w:val="00834D84"/>
    <w:rsid w:val="008356E2"/>
    <w:rsid w:val="00835B0B"/>
    <w:rsid w:val="00835D67"/>
    <w:rsid w:val="00835E46"/>
    <w:rsid w:val="00836279"/>
    <w:rsid w:val="00836548"/>
    <w:rsid w:val="00836F8B"/>
    <w:rsid w:val="00837003"/>
    <w:rsid w:val="00837882"/>
    <w:rsid w:val="00837E64"/>
    <w:rsid w:val="00840044"/>
    <w:rsid w:val="0084043C"/>
    <w:rsid w:val="008404F9"/>
    <w:rsid w:val="00840740"/>
    <w:rsid w:val="00840849"/>
    <w:rsid w:val="00840C02"/>
    <w:rsid w:val="0084118E"/>
    <w:rsid w:val="008412E9"/>
    <w:rsid w:val="00841604"/>
    <w:rsid w:val="00841CFD"/>
    <w:rsid w:val="00841E0A"/>
    <w:rsid w:val="00841EF8"/>
    <w:rsid w:val="00841FBF"/>
    <w:rsid w:val="008427DC"/>
    <w:rsid w:val="008429E2"/>
    <w:rsid w:val="00842A56"/>
    <w:rsid w:val="00842EFD"/>
    <w:rsid w:val="0084354F"/>
    <w:rsid w:val="0084359A"/>
    <w:rsid w:val="00843889"/>
    <w:rsid w:val="008441D2"/>
    <w:rsid w:val="0084443E"/>
    <w:rsid w:val="00844749"/>
    <w:rsid w:val="00845EF4"/>
    <w:rsid w:val="0084623C"/>
    <w:rsid w:val="008466C1"/>
    <w:rsid w:val="0084686D"/>
    <w:rsid w:val="00846F41"/>
    <w:rsid w:val="00847466"/>
    <w:rsid w:val="008475C3"/>
    <w:rsid w:val="008478D9"/>
    <w:rsid w:val="008479C9"/>
    <w:rsid w:val="00847DD1"/>
    <w:rsid w:val="008513FB"/>
    <w:rsid w:val="008515B1"/>
    <w:rsid w:val="00851715"/>
    <w:rsid w:val="00851FE9"/>
    <w:rsid w:val="008520AE"/>
    <w:rsid w:val="008526B3"/>
    <w:rsid w:val="00852D04"/>
    <w:rsid w:val="00854492"/>
    <w:rsid w:val="008544ED"/>
    <w:rsid w:val="00856082"/>
    <w:rsid w:val="0085612A"/>
    <w:rsid w:val="00856364"/>
    <w:rsid w:val="0085668E"/>
    <w:rsid w:val="00860379"/>
    <w:rsid w:val="008603DE"/>
    <w:rsid w:val="00860ADD"/>
    <w:rsid w:val="00860E3C"/>
    <w:rsid w:val="008610BB"/>
    <w:rsid w:val="00862710"/>
    <w:rsid w:val="00863002"/>
    <w:rsid w:val="008637DE"/>
    <w:rsid w:val="00863DDD"/>
    <w:rsid w:val="008645CA"/>
    <w:rsid w:val="00864B4B"/>
    <w:rsid w:val="00864E57"/>
    <w:rsid w:val="00865AD5"/>
    <w:rsid w:val="00865E82"/>
    <w:rsid w:val="0086659F"/>
    <w:rsid w:val="008706C5"/>
    <w:rsid w:val="008707D2"/>
    <w:rsid w:val="00870DBE"/>
    <w:rsid w:val="00870FEC"/>
    <w:rsid w:val="00871EBC"/>
    <w:rsid w:val="00872C9F"/>
    <w:rsid w:val="008730F6"/>
    <w:rsid w:val="0087329C"/>
    <w:rsid w:val="008738AC"/>
    <w:rsid w:val="00873A4A"/>
    <w:rsid w:val="00873BDB"/>
    <w:rsid w:val="008746CB"/>
    <w:rsid w:val="00875672"/>
    <w:rsid w:val="008756F5"/>
    <w:rsid w:val="00875EE9"/>
    <w:rsid w:val="008764AA"/>
    <w:rsid w:val="00876791"/>
    <w:rsid w:val="00876DA3"/>
    <w:rsid w:val="00877B34"/>
    <w:rsid w:val="00877E06"/>
    <w:rsid w:val="00880050"/>
    <w:rsid w:val="00880636"/>
    <w:rsid w:val="0088077F"/>
    <w:rsid w:val="00880F41"/>
    <w:rsid w:val="008815C8"/>
    <w:rsid w:val="00881702"/>
    <w:rsid w:val="00881EE9"/>
    <w:rsid w:val="00881F54"/>
    <w:rsid w:val="00882828"/>
    <w:rsid w:val="00882D11"/>
    <w:rsid w:val="0088370B"/>
    <w:rsid w:val="00883733"/>
    <w:rsid w:val="00885111"/>
    <w:rsid w:val="0088551A"/>
    <w:rsid w:val="00885593"/>
    <w:rsid w:val="00885992"/>
    <w:rsid w:val="00885A41"/>
    <w:rsid w:val="00885C23"/>
    <w:rsid w:val="00885E2E"/>
    <w:rsid w:val="00885E4E"/>
    <w:rsid w:val="00886AE6"/>
    <w:rsid w:val="00886E61"/>
    <w:rsid w:val="00887155"/>
    <w:rsid w:val="0088742B"/>
    <w:rsid w:val="008874D4"/>
    <w:rsid w:val="00890519"/>
    <w:rsid w:val="008909C2"/>
    <w:rsid w:val="00890F1C"/>
    <w:rsid w:val="00891211"/>
    <w:rsid w:val="0089144D"/>
    <w:rsid w:val="00891944"/>
    <w:rsid w:val="0089245C"/>
    <w:rsid w:val="00892B3F"/>
    <w:rsid w:val="00893E37"/>
    <w:rsid w:val="00893FCA"/>
    <w:rsid w:val="008940B8"/>
    <w:rsid w:val="00894A2B"/>
    <w:rsid w:val="0089611B"/>
    <w:rsid w:val="0089644C"/>
    <w:rsid w:val="00896760"/>
    <w:rsid w:val="00896D42"/>
    <w:rsid w:val="008970A5"/>
    <w:rsid w:val="008A0281"/>
    <w:rsid w:val="008A0295"/>
    <w:rsid w:val="008A1183"/>
    <w:rsid w:val="008A2729"/>
    <w:rsid w:val="008A33C5"/>
    <w:rsid w:val="008A3D8F"/>
    <w:rsid w:val="008A4344"/>
    <w:rsid w:val="008A4913"/>
    <w:rsid w:val="008A5C5D"/>
    <w:rsid w:val="008A63EF"/>
    <w:rsid w:val="008A6808"/>
    <w:rsid w:val="008A6DED"/>
    <w:rsid w:val="008A6F68"/>
    <w:rsid w:val="008A724A"/>
    <w:rsid w:val="008A73D3"/>
    <w:rsid w:val="008A75BB"/>
    <w:rsid w:val="008A7BBE"/>
    <w:rsid w:val="008B133A"/>
    <w:rsid w:val="008B161F"/>
    <w:rsid w:val="008B1A5F"/>
    <w:rsid w:val="008B1DDD"/>
    <w:rsid w:val="008B24B2"/>
    <w:rsid w:val="008B34D8"/>
    <w:rsid w:val="008B3EC0"/>
    <w:rsid w:val="008B3F98"/>
    <w:rsid w:val="008B43D8"/>
    <w:rsid w:val="008B458E"/>
    <w:rsid w:val="008B55C8"/>
    <w:rsid w:val="008B562C"/>
    <w:rsid w:val="008B57D9"/>
    <w:rsid w:val="008B5D80"/>
    <w:rsid w:val="008B622B"/>
    <w:rsid w:val="008B63DE"/>
    <w:rsid w:val="008B653E"/>
    <w:rsid w:val="008B713F"/>
    <w:rsid w:val="008B7172"/>
    <w:rsid w:val="008B7AD9"/>
    <w:rsid w:val="008B7CAC"/>
    <w:rsid w:val="008B7D3B"/>
    <w:rsid w:val="008C125D"/>
    <w:rsid w:val="008C1301"/>
    <w:rsid w:val="008C1C26"/>
    <w:rsid w:val="008C1D68"/>
    <w:rsid w:val="008C21F2"/>
    <w:rsid w:val="008C33BA"/>
    <w:rsid w:val="008C39F1"/>
    <w:rsid w:val="008C3A52"/>
    <w:rsid w:val="008C3A88"/>
    <w:rsid w:val="008C3AC8"/>
    <w:rsid w:val="008C426B"/>
    <w:rsid w:val="008C44B9"/>
    <w:rsid w:val="008C4839"/>
    <w:rsid w:val="008C4A4E"/>
    <w:rsid w:val="008C5070"/>
    <w:rsid w:val="008C5A3E"/>
    <w:rsid w:val="008C5E2F"/>
    <w:rsid w:val="008C63FA"/>
    <w:rsid w:val="008C6441"/>
    <w:rsid w:val="008C68F2"/>
    <w:rsid w:val="008C6ADE"/>
    <w:rsid w:val="008C7C03"/>
    <w:rsid w:val="008D0575"/>
    <w:rsid w:val="008D0E81"/>
    <w:rsid w:val="008D0EA7"/>
    <w:rsid w:val="008D0EF2"/>
    <w:rsid w:val="008D1D11"/>
    <w:rsid w:val="008D28EE"/>
    <w:rsid w:val="008D2B72"/>
    <w:rsid w:val="008D3158"/>
    <w:rsid w:val="008D39EA"/>
    <w:rsid w:val="008D40F3"/>
    <w:rsid w:val="008D4369"/>
    <w:rsid w:val="008D49D9"/>
    <w:rsid w:val="008D5721"/>
    <w:rsid w:val="008D58DE"/>
    <w:rsid w:val="008D6101"/>
    <w:rsid w:val="008D68BB"/>
    <w:rsid w:val="008D7291"/>
    <w:rsid w:val="008D7474"/>
    <w:rsid w:val="008D7691"/>
    <w:rsid w:val="008D792C"/>
    <w:rsid w:val="008D7DED"/>
    <w:rsid w:val="008E037E"/>
    <w:rsid w:val="008E0DA7"/>
    <w:rsid w:val="008E14DF"/>
    <w:rsid w:val="008E19FB"/>
    <w:rsid w:val="008E2BE8"/>
    <w:rsid w:val="008E2DBD"/>
    <w:rsid w:val="008E2F0E"/>
    <w:rsid w:val="008E3A93"/>
    <w:rsid w:val="008E4AB8"/>
    <w:rsid w:val="008E5207"/>
    <w:rsid w:val="008E5439"/>
    <w:rsid w:val="008E5CA3"/>
    <w:rsid w:val="008E60EE"/>
    <w:rsid w:val="008E6148"/>
    <w:rsid w:val="008E71E3"/>
    <w:rsid w:val="008E7E39"/>
    <w:rsid w:val="008F00CB"/>
    <w:rsid w:val="008F09FB"/>
    <w:rsid w:val="008F0B32"/>
    <w:rsid w:val="008F178A"/>
    <w:rsid w:val="008F1FD0"/>
    <w:rsid w:val="008F309F"/>
    <w:rsid w:val="008F370E"/>
    <w:rsid w:val="008F42BF"/>
    <w:rsid w:val="008F46FD"/>
    <w:rsid w:val="008F560B"/>
    <w:rsid w:val="008F5B8C"/>
    <w:rsid w:val="008F5DBB"/>
    <w:rsid w:val="008F706F"/>
    <w:rsid w:val="008F7156"/>
    <w:rsid w:val="008F7B8B"/>
    <w:rsid w:val="009005AC"/>
    <w:rsid w:val="00901E4B"/>
    <w:rsid w:val="00902685"/>
    <w:rsid w:val="00902D4F"/>
    <w:rsid w:val="0090399A"/>
    <w:rsid w:val="0090487C"/>
    <w:rsid w:val="00904DE7"/>
    <w:rsid w:val="009050ED"/>
    <w:rsid w:val="00905126"/>
    <w:rsid w:val="009058B2"/>
    <w:rsid w:val="00905BA9"/>
    <w:rsid w:val="00905D7E"/>
    <w:rsid w:val="00905F41"/>
    <w:rsid w:val="009064D4"/>
    <w:rsid w:val="00906755"/>
    <w:rsid w:val="00906F3A"/>
    <w:rsid w:val="0090708A"/>
    <w:rsid w:val="0091043B"/>
    <w:rsid w:val="009106CC"/>
    <w:rsid w:val="0091089E"/>
    <w:rsid w:val="00910DFC"/>
    <w:rsid w:val="00911690"/>
    <w:rsid w:val="00911B37"/>
    <w:rsid w:val="009121BA"/>
    <w:rsid w:val="00912429"/>
    <w:rsid w:val="0091258B"/>
    <w:rsid w:val="0091307A"/>
    <w:rsid w:val="009130CA"/>
    <w:rsid w:val="00913FB9"/>
    <w:rsid w:val="00914239"/>
    <w:rsid w:val="009145B9"/>
    <w:rsid w:val="00915987"/>
    <w:rsid w:val="00915F10"/>
    <w:rsid w:val="009162EA"/>
    <w:rsid w:val="009164B7"/>
    <w:rsid w:val="00916601"/>
    <w:rsid w:val="00916B4F"/>
    <w:rsid w:val="00917949"/>
    <w:rsid w:val="00917B0D"/>
    <w:rsid w:val="00917DD7"/>
    <w:rsid w:val="00920148"/>
    <w:rsid w:val="009203C0"/>
    <w:rsid w:val="009207A8"/>
    <w:rsid w:val="009219E6"/>
    <w:rsid w:val="00921CD9"/>
    <w:rsid w:val="00922FB9"/>
    <w:rsid w:val="00923606"/>
    <w:rsid w:val="0092384E"/>
    <w:rsid w:val="0092443F"/>
    <w:rsid w:val="0092462A"/>
    <w:rsid w:val="00924D1F"/>
    <w:rsid w:val="00925031"/>
    <w:rsid w:val="009251FA"/>
    <w:rsid w:val="009252EB"/>
    <w:rsid w:val="00925729"/>
    <w:rsid w:val="0092654A"/>
    <w:rsid w:val="00926A53"/>
    <w:rsid w:val="009273EC"/>
    <w:rsid w:val="00927641"/>
    <w:rsid w:val="009306AF"/>
    <w:rsid w:val="009306CB"/>
    <w:rsid w:val="00930985"/>
    <w:rsid w:val="009326DA"/>
    <w:rsid w:val="009327FB"/>
    <w:rsid w:val="00932DF3"/>
    <w:rsid w:val="00933F49"/>
    <w:rsid w:val="00934625"/>
    <w:rsid w:val="00935E33"/>
    <w:rsid w:val="00935E9F"/>
    <w:rsid w:val="009368EA"/>
    <w:rsid w:val="00937052"/>
    <w:rsid w:val="009379D6"/>
    <w:rsid w:val="00937C89"/>
    <w:rsid w:val="00940BA5"/>
    <w:rsid w:val="0094153C"/>
    <w:rsid w:val="00941567"/>
    <w:rsid w:val="009419F7"/>
    <w:rsid w:val="009424C6"/>
    <w:rsid w:val="00942E24"/>
    <w:rsid w:val="00942FDA"/>
    <w:rsid w:val="00942FE8"/>
    <w:rsid w:val="00943025"/>
    <w:rsid w:val="009434D1"/>
    <w:rsid w:val="00943AB2"/>
    <w:rsid w:val="00943D69"/>
    <w:rsid w:val="00943ED9"/>
    <w:rsid w:val="00943F7B"/>
    <w:rsid w:val="009446A6"/>
    <w:rsid w:val="00944C24"/>
    <w:rsid w:val="0094562A"/>
    <w:rsid w:val="009456AC"/>
    <w:rsid w:val="009457C1"/>
    <w:rsid w:val="00945D6B"/>
    <w:rsid w:val="00946EC7"/>
    <w:rsid w:val="0094737B"/>
    <w:rsid w:val="009476B3"/>
    <w:rsid w:val="0094792C"/>
    <w:rsid w:val="00947DE7"/>
    <w:rsid w:val="009512BA"/>
    <w:rsid w:val="00951B5B"/>
    <w:rsid w:val="00952217"/>
    <w:rsid w:val="00952427"/>
    <w:rsid w:val="00952D8D"/>
    <w:rsid w:val="00952DCF"/>
    <w:rsid w:val="009534C3"/>
    <w:rsid w:val="009538D7"/>
    <w:rsid w:val="00953AE7"/>
    <w:rsid w:val="00953D5D"/>
    <w:rsid w:val="0095570D"/>
    <w:rsid w:val="00956AF3"/>
    <w:rsid w:val="0096060B"/>
    <w:rsid w:val="009607FD"/>
    <w:rsid w:val="00961392"/>
    <w:rsid w:val="009614BA"/>
    <w:rsid w:val="009617B7"/>
    <w:rsid w:val="00961B09"/>
    <w:rsid w:val="00961B23"/>
    <w:rsid w:val="00962AB3"/>
    <w:rsid w:val="009634CC"/>
    <w:rsid w:val="0096391F"/>
    <w:rsid w:val="00963BAA"/>
    <w:rsid w:val="00964BF9"/>
    <w:rsid w:val="00964C25"/>
    <w:rsid w:val="009655BB"/>
    <w:rsid w:val="00965695"/>
    <w:rsid w:val="009669CE"/>
    <w:rsid w:val="00966D02"/>
    <w:rsid w:val="00967852"/>
    <w:rsid w:val="00967D85"/>
    <w:rsid w:val="0097028F"/>
    <w:rsid w:val="00970448"/>
    <w:rsid w:val="00971B6C"/>
    <w:rsid w:val="00972321"/>
    <w:rsid w:val="009731F0"/>
    <w:rsid w:val="00973A99"/>
    <w:rsid w:val="00975315"/>
    <w:rsid w:val="00975832"/>
    <w:rsid w:val="00975D09"/>
    <w:rsid w:val="00975F4F"/>
    <w:rsid w:val="00976221"/>
    <w:rsid w:val="009766AD"/>
    <w:rsid w:val="009771AE"/>
    <w:rsid w:val="00981358"/>
    <w:rsid w:val="00981415"/>
    <w:rsid w:val="00981C45"/>
    <w:rsid w:val="00981E59"/>
    <w:rsid w:val="00982808"/>
    <w:rsid w:val="009829B1"/>
    <w:rsid w:val="00983185"/>
    <w:rsid w:val="0098367D"/>
    <w:rsid w:val="009837DC"/>
    <w:rsid w:val="00983B31"/>
    <w:rsid w:val="00984BBA"/>
    <w:rsid w:val="00984CE9"/>
    <w:rsid w:val="009850F1"/>
    <w:rsid w:val="00985E01"/>
    <w:rsid w:val="00986B59"/>
    <w:rsid w:val="00986FE0"/>
    <w:rsid w:val="00987259"/>
    <w:rsid w:val="00987D2B"/>
    <w:rsid w:val="009907AF"/>
    <w:rsid w:val="00990AF7"/>
    <w:rsid w:val="0099102D"/>
    <w:rsid w:val="0099131A"/>
    <w:rsid w:val="00991BCE"/>
    <w:rsid w:val="009920C4"/>
    <w:rsid w:val="00993CBA"/>
    <w:rsid w:val="00994011"/>
    <w:rsid w:val="00994091"/>
    <w:rsid w:val="009941C9"/>
    <w:rsid w:val="009942DC"/>
    <w:rsid w:val="00994653"/>
    <w:rsid w:val="00994784"/>
    <w:rsid w:val="009947DF"/>
    <w:rsid w:val="00995778"/>
    <w:rsid w:val="00996001"/>
    <w:rsid w:val="0099606D"/>
    <w:rsid w:val="00996132"/>
    <w:rsid w:val="009962FF"/>
    <w:rsid w:val="00997789"/>
    <w:rsid w:val="00997B31"/>
    <w:rsid w:val="00997EB6"/>
    <w:rsid w:val="009A089B"/>
    <w:rsid w:val="009A08A3"/>
    <w:rsid w:val="009A0C3F"/>
    <w:rsid w:val="009A107F"/>
    <w:rsid w:val="009A1101"/>
    <w:rsid w:val="009A12D2"/>
    <w:rsid w:val="009A15A8"/>
    <w:rsid w:val="009A20D4"/>
    <w:rsid w:val="009A242A"/>
    <w:rsid w:val="009A3236"/>
    <w:rsid w:val="009A3B6E"/>
    <w:rsid w:val="009A42B3"/>
    <w:rsid w:val="009A4524"/>
    <w:rsid w:val="009A4B02"/>
    <w:rsid w:val="009A592A"/>
    <w:rsid w:val="009A5A61"/>
    <w:rsid w:val="009A5BB7"/>
    <w:rsid w:val="009A5E91"/>
    <w:rsid w:val="009A6367"/>
    <w:rsid w:val="009A68C4"/>
    <w:rsid w:val="009A69C9"/>
    <w:rsid w:val="009A6E35"/>
    <w:rsid w:val="009A746A"/>
    <w:rsid w:val="009A7D86"/>
    <w:rsid w:val="009A7FB1"/>
    <w:rsid w:val="009B075E"/>
    <w:rsid w:val="009B0898"/>
    <w:rsid w:val="009B0AB6"/>
    <w:rsid w:val="009B137F"/>
    <w:rsid w:val="009B26F2"/>
    <w:rsid w:val="009B37BA"/>
    <w:rsid w:val="009B3A15"/>
    <w:rsid w:val="009B3EBC"/>
    <w:rsid w:val="009B46D1"/>
    <w:rsid w:val="009B4CF2"/>
    <w:rsid w:val="009B4D80"/>
    <w:rsid w:val="009B4DE3"/>
    <w:rsid w:val="009B52C7"/>
    <w:rsid w:val="009B5586"/>
    <w:rsid w:val="009B5DD8"/>
    <w:rsid w:val="009B6482"/>
    <w:rsid w:val="009B6858"/>
    <w:rsid w:val="009B762D"/>
    <w:rsid w:val="009B78F6"/>
    <w:rsid w:val="009B7909"/>
    <w:rsid w:val="009B7964"/>
    <w:rsid w:val="009B7DE5"/>
    <w:rsid w:val="009B7EE9"/>
    <w:rsid w:val="009C08E2"/>
    <w:rsid w:val="009C1017"/>
    <w:rsid w:val="009C12E8"/>
    <w:rsid w:val="009C17FE"/>
    <w:rsid w:val="009C18E7"/>
    <w:rsid w:val="009C22CD"/>
    <w:rsid w:val="009C2AFB"/>
    <w:rsid w:val="009C2D7E"/>
    <w:rsid w:val="009C33BA"/>
    <w:rsid w:val="009C3765"/>
    <w:rsid w:val="009C3BEF"/>
    <w:rsid w:val="009C48AC"/>
    <w:rsid w:val="009C4D91"/>
    <w:rsid w:val="009C5FF7"/>
    <w:rsid w:val="009D0401"/>
    <w:rsid w:val="009D06A1"/>
    <w:rsid w:val="009D0B40"/>
    <w:rsid w:val="009D0B4F"/>
    <w:rsid w:val="009D1053"/>
    <w:rsid w:val="009D1054"/>
    <w:rsid w:val="009D22ED"/>
    <w:rsid w:val="009D247A"/>
    <w:rsid w:val="009D2505"/>
    <w:rsid w:val="009D254D"/>
    <w:rsid w:val="009D29A4"/>
    <w:rsid w:val="009D2EC3"/>
    <w:rsid w:val="009D3EBF"/>
    <w:rsid w:val="009D49C8"/>
    <w:rsid w:val="009D4A4F"/>
    <w:rsid w:val="009D4EE3"/>
    <w:rsid w:val="009D4FE3"/>
    <w:rsid w:val="009D602A"/>
    <w:rsid w:val="009D73E6"/>
    <w:rsid w:val="009D7C00"/>
    <w:rsid w:val="009D7C4A"/>
    <w:rsid w:val="009E0341"/>
    <w:rsid w:val="009E0841"/>
    <w:rsid w:val="009E08C1"/>
    <w:rsid w:val="009E0ED5"/>
    <w:rsid w:val="009E103F"/>
    <w:rsid w:val="009E1103"/>
    <w:rsid w:val="009E19E4"/>
    <w:rsid w:val="009E1B78"/>
    <w:rsid w:val="009E1C89"/>
    <w:rsid w:val="009E2060"/>
    <w:rsid w:val="009E2298"/>
    <w:rsid w:val="009E2302"/>
    <w:rsid w:val="009E238E"/>
    <w:rsid w:val="009E280C"/>
    <w:rsid w:val="009E31B1"/>
    <w:rsid w:val="009E3AAE"/>
    <w:rsid w:val="009E3B18"/>
    <w:rsid w:val="009E410F"/>
    <w:rsid w:val="009E44F6"/>
    <w:rsid w:val="009E47D5"/>
    <w:rsid w:val="009E4BBD"/>
    <w:rsid w:val="009E4CEB"/>
    <w:rsid w:val="009E4F5B"/>
    <w:rsid w:val="009E5030"/>
    <w:rsid w:val="009E506D"/>
    <w:rsid w:val="009E5BDF"/>
    <w:rsid w:val="009E5CB3"/>
    <w:rsid w:val="009E5F6A"/>
    <w:rsid w:val="009E5FFC"/>
    <w:rsid w:val="009E6B08"/>
    <w:rsid w:val="009E704C"/>
    <w:rsid w:val="009E78C7"/>
    <w:rsid w:val="009F008F"/>
    <w:rsid w:val="009F024C"/>
    <w:rsid w:val="009F05AE"/>
    <w:rsid w:val="009F1159"/>
    <w:rsid w:val="009F146E"/>
    <w:rsid w:val="009F16C7"/>
    <w:rsid w:val="009F16DD"/>
    <w:rsid w:val="009F1CFB"/>
    <w:rsid w:val="009F1DC3"/>
    <w:rsid w:val="009F21B8"/>
    <w:rsid w:val="009F21BE"/>
    <w:rsid w:val="009F2A5D"/>
    <w:rsid w:val="009F2B31"/>
    <w:rsid w:val="009F3062"/>
    <w:rsid w:val="009F33BA"/>
    <w:rsid w:val="009F513D"/>
    <w:rsid w:val="009F562E"/>
    <w:rsid w:val="009F66E2"/>
    <w:rsid w:val="009F7691"/>
    <w:rsid w:val="009F7788"/>
    <w:rsid w:val="009F7B5E"/>
    <w:rsid w:val="009F7D44"/>
    <w:rsid w:val="009F7EF1"/>
    <w:rsid w:val="009F7F8E"/>
    <w:rsid w:val="00A00DDE"/>
    <w:rsid w:val="00A00FAA"/>
    <w:rsid w:val="00A0112E"/>
    <w:rsid w:val="00A011E6"/>
    <w:rsid w:val="00A01A54"/>
    <w:rsid w:val="00A01B61"/>
    <w:rsid w:val="00A01CF5"/>
    <w:rsid w:val="00A02786"/>
    <w:rsid w:val="00A0316C"/>
    <w:rsid w:val="00A047C5"/>
    <w:rsid w:val="00A0486A"/>
    <w:rsid w:val="00A04E98"/>
    <w:rsid w:val="00A0642B"/>
    <w:rsid w:val="00A06F55"/>
    <w:rsid w:val="00A0705A"/>
    <w:rsid w:val="00A07372"/>
    <w:rsid w:val="00A100FA"/>
    <w:rsid w:val="00A10537"/>
    <w:rsid w:val="00A10A19"/>
    <w:rsid w:val="00A10D24"/>
    <w:rsid w:val="00A10F88"/>
    <w:rsid w:val="00A1118C"/>
    <w:rsid w:val="00A1126A"/>
    <w:rsid w:val="00A13690"/>
    <w:rsid w:val="00A143D7"/>
    <w:rsid w:val="00A156F6"/>
    <w:rsid w:val="00A15F14"/>
    <w:rsid w:val="00A163DC"/>
    <w:rsid w:val="00A16453"/>
    <w:rsid w:val="00A1653D"/>
    <w:rsid w:val="00A167C0"/>
    <w:rsid w:val="00A16D11"/>
    <w:rsid w:val="00A16DA4"/>
    <w:rsid w:val="00A17081"/>
    <w:rsid w:val="00A170C7"/>
    <w:rsid w:val="00A171A1"/>
    <w:rsid w:val="00A17606"/>
    <w:rsid w:val="00A17D7D"/>
    <w:rsid w:val="00A201F8"/>
    <w:rsid w:val="00A20813"/>
    <w:rsid w:val="00A210BE"/>
    <w:rsid w:val="00A21853"/>
    <w:rsid w:val="00A21EF8"/>
    <w:rsid w:val="00A21F79"/>
    <w:rsid w:val="00A22662"/>
    <w:rsid w:val="00A22DC9"/>
    <w:rsid w:val="00A23590"/>
    <w:rsid w:val="00A237F0"/>
    <w:rsid w:val="00A23F7F"/>
    <w:rsid w:val="00A242BC"/>
    <w:rsid w:val="00A24C65"/>
    <w:rsid w:val="00A24E88"/>
    <w:rsid w:val="00A255AB"/>
    <w:rsid w:val="00A257F5"/>
    <w:rsid w:val="00A26A01"/>
    <w:rsid w:val="00A278A0"/>
    <w:rsid w:val="00A27DF4"/>
    <w:rsid w:val="00A27E7C"/>
    <w:rsid w:val="00A27FEB"/>
    <w:rsid w:val="00A30F82"/>
    <w:rsid w:val="00A3103B"/>
    <w:rsid w:val="00A31258"/>
    <w:rsid w:val="00A31839"/>
    <w:rsid w:val="00A31EE8"/>
    <w:rsid w:val="00A31FEC"/>
    <w:rsid w:val="00A337C0"/>
    <w:rsid w:val="00A34151"/>
    <w:rsid w:val="00A35448"/>
    <w:rsid w:val="00A35B1E"/>
    <w:rsid w:val="00A372E2"/>
    <w:rsid w:val="00A372E4"/>
    <w:rsid w:val="00A40188"/>
    <w:rsid w:val="00A40B4C"/>
    <w:rsid w:val="00A40F27"/>
    <w:rsid w:val="00A41232"/>
    <w:rsid w:val="00A413A7"/>
    <w:rsid w:val="00A41623"/>
    <w:rsid w:val="00A41D92"/>
    <w:rsid w:val="00A42438"/>
    <w:rsid w:val="00A42B3A"/>
    <w:rsid w:val="00A43256"/>
    <w:rsid w:val="00A438F1"/>
    <w:rsid w:val="00A44775"/>
    <w:rsid w:val="00A44D7F"/>
    <w:rsid w:val="00A44FC4"/>
    <w:rsid w:val="00A4534F"/>
    <w:rsid w:val="00A45673"/>
    <w:rsid w:val="00A45FFE"/>
    <w:rsid w:val="00A46D45"/>
    <w:rsid w:val="00A473FF"/>
    <w:rsid w:val="00A47927"/>
    <w:rsid w:val="00A479A1"/>
    <w:rsid w:val="00A47D5A"/>
    <w:rsid w:val="00A50242"/>
    <w:rsid w:val="00A50928"/>
    <w:rsid w:val="00A51FC1"/>
    <w:rsid w:val="00A52238"/>
    <w:rsid w:val="00A523EE"/>
    <w:rsid w:val="00A52838"/>
    <w:rsid w:val="00A52D49"/>
    <w:rsid w:val="00A5320F"/>
    <w:rsid w:val="00A53714"/>
    <w:rsid w:val="00A5383C"/>
    <w:rsid w:val="00A53BC8"/>
    <w:rsid w:val="00A5503B"/>
    <w:rsid w:val="00A55972"/>
    <w:rsid w:val="00A55ECA"/>
    <w:rsid w:val="00A56E2A"/>
    <w:rsid w:val="00A601CA"/>
    <w:rsid w:val="00A612F8"/>
    <w:rsid w:val="00A61342"/>
    <w:rsid w:val="00A61465"/>
    <w:rsid w:val="00A61656"/>
    <w:rsid w:val="00A61D80"/>
    <w:rsid w:val="00A61E8F"/>
    <w:rsid w:val="00A61F52"/>
    <w:rsid w:val="00A62266"/>
    <w:rsid w:val="00A62437"/>
    <w:rsid w:val="00A636EC"/>
    <w:rsid w:val="00A6403B"/>
    <w:rsid w:val="00A64845"/>
    <w:rsid w:val="00A650AA"/>
    <w:rsid w:val="00A65FB6"/>
    <w:rsid w:val="00A665C7"/>
    <w:rsid w:val="00A66999"/>
    <w:rsid w:val="00A673C6"/>
    <w:rsid w:val="00A67D1B"/>
    <w:rsid w:val="00A67E3D"/>
    <w:rsid w:val="00A70649"/>
    <w:rsid w:val="00A70DB2"/>
    <w:rsid w:val="00A71360"/>
    <w:rsid w:val="00A726F7"/>
    <w:rsid w:val="00A72E96"/>
    <w:rsid w:val="00A73433"/>
    <w:rsid w:val="00A734AB"/>
    <w:rsid w:val="00A73F15"/>
    <w:rsid w:val="00A74359"/>
    <w:rsid w:val="00A74B0B"/>
    <w:rsid w:val="00A74D66"/>
    <w:rsid w:val="00A759BC"/>
    <w:rsid w:val="00A760C1"/>
    <w:rsid w:val="00A76135"/>
    <w:rsid w:val="00A762B0"/>
    <w:rsid w:val="00A762D9"/>
    <w:rsid w:val="00A76D54"/>
    <w:rsid w:val="00A76DB7"/>
    <w:rsid w:val="00A77531"/>
    <w:rsid w:val="00A8029B"/>
    <w:rsid w:val="00A8047A"/>
    <w:rsid w:val="00A8067F"/>
    <w:rsid w:val="00A808DB"/>
    <w:rsid w:val="00A80B20"/>
    <w:rsid w:val="00A81B33"/>
    <w:rsid w:val="00A820DA"/>
    <w:rsid w:val="00A82308"/>
    <w:rsid w:val="00A82789"/>
    <w:rsid w:val="00A82BF1"/>
    <w:rsid w:val="00A82CF0"/>
    <w:rsid w:val="00A82F60"/>
    <w:rsid w:val="00A8355F"/>
    <w:rsid w:val="00A850B8"/>
    <w:rsid w:val="00A85CAF"/>
    <w:rsid w:val="00A86270"/>
    <w:rsid w:val="00A90374"/>
    <w:rsid w:val="00A90B48"/>
    <w:rsid w:val="00A90FE6"/>
    <w:rsid w:val="00A912D4"/>
    <w:rsid w:val="00A91766"/>
    <w:rsid w:val="00A91A39"/>
    <w:rsid w:val="00A91C72"/>
    <w:rsid w:val="00A91EE9"/>
    <w:rsid w:val="00A926BB"/>
    <w:rsid w:val="00A92BC4"/>
    <w:rsid w:val="00A934C7"/>
    <w:rsid w:val="00A93623"/>
    <w:rsid w:val="00A936FA"/>
    <w:rsid w:val="00A94254"/>
    <w:rsid w:val="00A94A4C"/>
    <w:rsid w:val="00A9551E"/>
    <w:rsid w:val="00A95B5F"/>
    <w:rsid w:val="00A95DCF"/>
    <w:rsid w:val="00A961E7"/>
    <w:rsid w:val="00A96DCD"/>
    <w:rsid w:val="00A976F2"/>
    <w:rsid w:val="00A977C7"/>
    <w:rsid w:val="00A97A77"/>
    <w:rsid w:val="00A97B78"/>
    <w:rsid w:val="00A97EA7"/>
    <w:rsid w:val="00A97F5E"/>
    <w:rsid w:val="00AA004D"/>
    <w:rsid w:val="00AA0294"/>
    <w:rsid w:val="00AA0F17"/>
    <w:rsid w:val="00AA16FA"/>
    <w:rsid w:val="00AA1883"/>
    <w:rsid w:val="00AA1AEF"/>
    <w:rsid w:val="00AA20EF"/>
    <w:rsid w:val="00AA2539"/>
    <w:rsid w:val="00AA2754"/>
    <w:rsid w:val="00AA2ED3"/>
    <w:rsid w:val="00AA2EDD"/>
    <w:rsid w:val="00AA32D6"/>
    <w:rsid w:val="00AA3554"/>
    <w:rsid w:val="00AA368A"/>
    <w:rsid w:val="00AA3711"/>
    <w:rsid w:val="00AA3C55"/>
    <w:rsid w:val="00AA446B"/>
    <w:rsid w:val="00AA4AC3"/>
    <w:rsid w:val="00AA514B"/>
    <w:rsid w:val="00AA5673"/>
    <w:rsid w:val="00AA5CAC"/>
    <w:rsid w:val="00AA6081"/>
    <w:rsid w:val="00AA6B84"/>
    <w:rsid w:val="00AA6C43"/>
    <w:rsid w:val="00AA6CC4"/>
    <w:rsid w:val="00AA73D3"/>
    <w:rsid w:val="00AA75F3"/>
    <w:rsid w:val="00AA76D0"/>
    <w:rsid w:val="00AA7744"/>
    <w:rsid w:val="00AA791F"/>
    <w:rsid w:val="00AA7A9F"/>
    <w:rsid w:val="00AA7B3E"/>
    <w:rsid w:val="00AB0981"/>
    <w:rsid w:val="00AB134A"/>
    <w:rsid w:val="00AB1CF8"/>
    <w:rsid w:val="00AB1D36"/>
    <w:rsid w:val="00AB1ED1"/>
    <w:rsid w:val="00AB2050"/>
    <w:rsid w:val="00AB2537"/>
    <w:rsid w:val="00AB2A90"/>
    <w:rsid w:val="00AB317D"/>
    <w:rsid w:val="00AB35DB"/>
    <w:rsid w:val="00AB4368"/>
    <w:rsid w:val="00AB45C5"/>
    <w:rsid w:val="00AB4D10"/>
    <w:rsid w:val="00AB556B"/>
    <w:rsid w:val="00AB557A"/>
    <w:rsid w:val="00AB55C5"/>
    <w:rsid w:val="00AB5DEB"/>
    <w:rsid w:val="00AB67DB"/>
    <w:rsid w:val="00AB68CF"/>
    <w:rsid w:val="00AB6D96"/>
    <w:rsid w:val="00AB74C9"/>
    <w:rsid w:val="00AC04E5"/>
    <w:rsid w:val="00AC0687"/>
    <w:rsid w:val="00AC0E7A"/>
    <w:rsid w:val="00AC118F"/>
    <w:rsid w:val="00AC1EF7"/>
    <w:rsid w:val="00AC204B"/>
    <w:rsid w:val="00AC2309"/>
    <w:rsid w:val="00AC26BC"/>
    <w:rsid w:val="00AC28C4"/>
    <w:rsid w:val="00AC29BB"/>
    <w:rsid w:val="00AC3589"/>
    <w:rsid w:val="00AC3716"/>
    <w:rsid w:val="00AC38CD"/>
    <w:rsid w:val="00AC3F3F"/>
    <w:rsid w:val="00AC417D"/>
    <w:rsid w:val="00AC4352"/>
    <w:rsid w:val="00AC541E"/>
    <w:rsid w:val="00AC6273"/>
    <w:rsid w:val="00AC683C"/>
    <w:rsid w:val="00AC6C26"/>
    <w:rsid w:val="00AC7048"/>
    <w:rsid w:val="00AC70E7"/>
    <w:rsid w:val="00AC7B33"/>
    <w:rsid w:val="00AD0175"/>
    <w:rsid w:val="00AD03D0"/>
    <w:rsid w:val="00AD084B"/>
    <w:rsid w:val="00AD1000"/>
    <w:rsid w:val="00AD1113"/>
    <w:rsid w:val="00AD1221"/>
    <w:rsid w:val="00AD1245"/>
    <w:rsid w:val="00AD18B5"/>
    <w:rsid w:val="00AD1CAB"/>
    <w:rsid w:val="00AD1F7B"/>
    <w:rsid w:val="00AD2DD4"/>
    <w:rsid w:val="00AD34E9"/>
    <w:rsid w:val="00AD39AE"/>
    <w:rsid w:val="00AD4AFE"/>
    <w:rsid w:val="00AD520F"/>
    <w:rsid w:val="00AD5497"/>
    <w:rsid w:val="00AD6257"/>
    <w:rsid w:val="00AD6B16"/>
    <w:rsid w:val="00AD7022"/>
    <w:rsid w:val="00AD70EC"/>
    <w:rsid w:val="00AD71AC"/>
    <w:rsid w:val="00AD7924"/>
    <w:rsid w:val="00AD7DA9"/>
    <w:rsid w:val="00AE05BC"/>
    <w:rsid w:val="00AE0C07"/>
    <w:rsid w:val="00AE0FEE"/>
    <w:rsid w:val="00AE1CFE"/>
    <w:rsid w:val="00AE323D"/>
    <w:rsid w:val="00AE3420"/>
    <w:rsid w:val="00AE3D5B"/>
    <w:rsid w:val="00AE3DDB"/>
    <w:rsid w:val="00AE46C2"/>
    <w:rsid w:val="00AE4B6E"/>
    <w:rsid w:val="00AE576C"/>
    <w:rsid w:val="00AE5A15"/>
    <w:rsid w:val="00AE5D95"/>
    <w:rsid w:val="00AE5EFC"/>
    <w:rsid w:val="00AE6C63"/>
    <w:rsid w:val="00AE7E71"/>
    <w:rsid w:val="00AF04F2"/>
    <w:rsid w:val="00AF12A8"/>
    <w:rsid w:val="00AF176A"/>
    <w:rsid w:val="00AF1C1F"/>
    <w:rsid w:val="00AF1D57"/>
    <w:rsid w:val="00AF1DA9"/>
    <w:rsid w:val="00AF277D"/>
    <w:rsid w:val="00AF30E7"/>
    <w:rsid w:val="00AF38E7"/>
    <w:rsid w:val="00AF3E43"/>
    <w:rsid w:val="00AF3F87"/>
    <w:rsid w:val="00AF44F6"/>
    <w:rsid w:val="00AF4EEB"/>
    <w:rsid w:val="00AF4F82"/>
    <w:rsid w:val="00AF5114"/>
    <w:rsid w:val="00AF5477"/>
    <w:rsid w:val="00AF5DFE"/>
    <w:rsid w:val="00AF6F67"/>
    <w:rsid w:val="00AF6FC7"/>
    <w:rsid w:val="00AF7058"/>
    <w:rsid w:val="00AF78BF"/>
    <w:rsid w:val="00AF78CD"/>
    <w:rsid w:val="00B0092E"/>
    <w:rsid w:val="00B00A5F"/>
    <w:rsid w:val="00B016C1"/>
    <w:rsid w:val="00B02087"/>
    <w:rsid w:val="00B02181"/>
    <w:rsid w:val="00B029C8"/>
    <w:rsid w:val="00B031C0"/>
    <w:rsid w:val="00B033AD"/>
    <w:rsid w:val="00B034DF"/>
    <w:rsid w:val="00B035D6"/>
    <w:rsid w:val="00B03906"/>
    <w:rsid w:val="00B03AFC"/>
    <w:rsid w:val="00B043EB"/>
    <w:rsid w:val="00B045ED"/>
    <w:rsid w:val="00B0490F"/>
    <w:rsid w:val="00B04A49"/>
    <w:rsid w:val="00B04CC5"/>
    <w:rsid w:val="00B05FE9"/>
    <w:rsid w:val="00B06592"/>
    <w:rsid w:val="00B069AF"/>
    <w:rsid w:val="00B0702D"/>
    <w:rsid w:val="00B071C6"/>
    <w:rsid w:val="00B074C1"/>
    <w:rsid w:val="00B07819"/>
    <w:rsid w:val="00B10427"/>
    <w:rsid w:val="00B11400"/>
    <w:rsid w:val="00B1164F"/>
    <w:rsid w:val="00B116B2"/>
    <w:rsid w:val="00B11F38"/>
    <w:rsid w:val="00B13217"/>
    <w:rsid w:val="00B137BE"/>
    <w:rsid w:val="00B14A03"/>
    <w:rsid w:val="00B1502C"/>
    <w:rsid w:val="00B15395"/>
    <w:rsid w:val="00B15719"/>
    <w:rsid w:val="00B15833"/>
    <w:rsid w:val="00B15E05"/>
    <w:rsid w:val="00B16397"/>
    <w:rsid w:val="00B1661D"/>
    <w:rsid w:val="00B170D6"/>
    <w:rsid w:val="00B174F7"/>
    <w:rsid w:val="00B17589"/>
    <w:rsid w:val="00B17BE7"/>
    <w:rsid w:val="00B17D90"/>
    <w:rsid w:val="00B20868"/>
    <w:rsid w:val="00B21651"/>
    <w:rsid w:val="00B2208A"/>
    <w:rsid w:val="00B2209B"/>
    <w:rsid w:val="00B22116"/>
    <w:rsid w:val="00B222E1"/>
    <w:rsid w:val="00B2250D"/>
    <w:rsid w:val="00B22974"/>
    <w:rsid w:val="00B22CE4"/>
    <w:rsid w:val="00B22E58"/>
    <w:rsid w:val="00B23DFD"/>
    <w:rsid w:val="00B24002"/>
    <w:rsid w:val="00B24D37"/>
    <w:rsid w:val="00B25008"/>
    <w:rsid w:val="00B2512C"/>
    <w:rsid w:val="00B25559"/>
    <w:rsid w:val="00B256FF"/>
    <w:rsid w:val="00B25888"/>
    <w:rsid w:val="00B25AAB"/>
    <w:rsid w:val="00B260DF"/>
    <w:rsid w:val="00B26185"/>
    <w:rsid w:val="00B26C7E"/>
    <w:rsid w:val="00B30051"/>
    <w:rsid w:val="00B307F3"/>
    <w:rsid w:val="00B308ED"/>
    <w:rsid w:val="00B30B29"/>
    <w:rsid w:val="00B3100E"/>
    <w:rsid w:val="00B32162"/>
    <w:rsid w:val="00B32212"/>
    <w:rsid w:val="00B322F5"/>
    <w:rsid w:val="00B32370"/>
    <w:rsid w:val="00B32748"/>
    <w:rsid w:val="00B32E93"/>
    <w:rsid w:val="00B33612"/>
    <w:rsid w:val="00B3404A"/>
    <w:rsid w:val="00B3427C"/>
    <w:rsid w:val="00B34EC8"/>
    <w:rsid w:val="00B34ED4"/>
    <w:rsid w:val="00B354B2"/>
    <w:rsid w:val="00B355E0"/>
    <w:rsid w:val="00B3603C"/>
    <w:rsid w:val="00B36289"/>
    <w:rsid w:val="00B3629A"/>
    <w:rsid w:val="00B36678"/>
    <w:rsid w:val="00B37CAF"/>
    <w:rsid w:val="00B37E0D"/>
    <w:rsid w:val="00B406DF"/>
    <w:rsid w:val="00B4077D"/>
    <w:rsid w:val="00B414C4"/>
    <w:rsid w:val="00B414E6"/>
    <w:rsid w:val="00B41898"/>
    <w:rsid w:val="00B423A5"/>
    <w:rsid w:val="00B425CE"/>
    <w:rsid w:val="00B42879"/>
    <w:rsid w:val="00B429D6"/>
    <w:rsid w:val="00B42A29"/>
    <w:rsid w:val="00B4394E"/>
    <w:rsid w:val="00B44028"/>
    <w:rsid w:val="00B4463A"/>
    <w:rsid w:val="00B4535F"/>
    <w:rsid w:val="00B45993"/>
    <w:rsid w:val="00B45E3E"/>
    <w:rsid w:val="00B4657D"/>
    <w:rsid w:val="00B466D3"/>
    <w:rsid w:val="00B47023"/>
    <w:rsid w:val="00B47C8B"/>
    <w:rsid w:val="00B50546"/>
    <w:rsid w:val="00B50591"/>
    <w:rsid w:val="00B50637"/>
    <w:rsid w:val="00B50717"/>
    <w:rsid w:val="00B50D3C"/>
    <w:rsid w:val="00B50E3E"/>
    <w:rsid w:val="00B513CE"/>
    <w:rsid w:val="00B52C15"/>
    <w:rsid w:val="00B52C3F"/>
    <w:rsid w:val="00B5383E"/>
    <w:rsid w:val="00B53E59"/>
    <w:rsid w:val="00B53F0E"/>
    <w:rsid w:val="00B54814"/>
    <w:rsid w:val="00B548D1"/>
    <w:rsid w:val="00B54F83"/>
    <w:rsid w:val="00B55358"/>
    <w:rsid w:val="00B55682"/>
    <w:rsid w:val="00B55903"/>
    <w:rsid w:val="00B55955"/>
    <w:rsid w:val="00B55C1D"/>
    <w:rsid w:val="00B56530"/>
    <w:rsid w:val="00B56A31"/>
    <w:rsid w:val="00B572D6"/>
    <w:rsid w:val="00B579BA"/>
    <w:rsid w:val="00B579F4"/>
    <w:rsid w:val="00B57BA6"/>
    <w:rsid w:val="00B57E20"/>
    <w:rsid w:val="00B57F43"/>
    <w:rsid w:val="00B60260"/>
    <w:rsid w:val="00B60707"/>
    <w:rsid w:val="00B61BAE"/>
    <w:rsid w:val="00B61CF8"/>
    <w:rsid w:val="00B62A28"/>
    <w:rsid w:val="00B62CDC"/>
    <w:rsid w:val="00B62D8F"/>
    <w:rsid w:val="00B62DA3"/>
    <w:rsid w:val="00B62F2E"/>
    <w:rsid w:val="00B63268"/>
    <w:rsid w:val="00B642F1"/>
    <w:rsid w:val="00B64351"/>
    <w:rsid w:val="00B64E75"/>
    <w:rsid w:val="00B658D8"/>
    <w:rsid w:val="00B65AF9"/>
    <w:rsid w:val="00B6671B"/>
    <w:rsid w:val="00B673AD"/>
    <w:rsid w:val="00B67900"/>
    <w:rsid w:val="00B6796E"/>
    <w:rsid w:val="00B67D7C"/>
    <w:rsid w:val="00B713C8"/>
    <w:rsid w:val="00B72A65"/>
    <w:rsid w:val="00B72AAB"/>
    <w:rsid w:val="00B72B85"/>
    <w:rsid w:val="00B72BC9"/>
    <w:rsid w:val="00B73726"/>
    <w:rsid w:val="00B73D56"/>
    <w:rsid w:val="00B7448D"/>
    <w:rsid w:val="00B748D0"/>
    <w:rsid w:val="00B74AAB"/>
    <w:rsid w:val="00B757B4"/>
    <w:rsid w:val="00B75C94"/>
    <w:rsid w:val="00B76F67"/>
    <w:rsid w:val="00B774C1"/>
    <w:rsid w:val="00B77CDD"/>
    <w:rsid w:val="00B77EDC"/>
    <w:rsid w:val="00B8019A"/>
    <w:rsid w:val="00B8050B"/>
    <w:rsid w:val="00B80BAE"/>
    <w:rsid w:val="00B80F51"/>
    <w:rsid w:val="00B81884"/>
    <w:rsid w:val="00B818AE"/>
    <w:rsid w:val="00B82ED7"/>
    <w:rsid w:val="00B8301E"/>
    <w:rsid w:val="00B83026"/>
    <w:rsid w:val="00B83A7C"/>
    <w:rsid w:val="00B83E65"/>
    <w:rsid w:val="00B843E2"/>
    <w:rsid w:val="00B849E6"/>
    <w:rsid w:val="00B84CA6"/>
    <w:rsid w:val="00B851ED"/>
    <w:rsid w:val="00B85320"/>
    <w:rsid w:val="00B85637"/>
    <w:rsid w:val="00B867F7"/>
    <w:rsid w:val="00B86B23"/>
    <w:rsid w:val="00B86F8A"/>
    <w:rsid w:val="00B87005"/>
    <w:rsid w:val="00B87568"/>
    <w:rsid w:val="00B87802"/>
    <w:rsid w:val="00B90401"/>
    <w:rsid w:val="00B91812"/>
    <w:rsid w:val="00B92022"/>
    <w:rsid w:val="00B92219"/>
    <w:rsid w:val="00B9239B"/>
    <w:rsid w:val="00B929C1"/>
    <w:rsid w:val="00B93097"/>
    <w:rsid w:val="00B936E0"/>
    <w:rsid w:val="00B93F15"/>
    <w:rsid w:val="00B94240"/>
    <w:rsid w:val="00B954BF"/>
    <w:rsid w:val="00B95852"/>
    <w:rsid w:val="00B96BDE"/>
    <w:rsid w:val="00B96C04"/>
    <w:rsid w:val="00B96D04"/>
    <w:rsid w:val="00B97ACA"/>
    <w:rsid w:val="00B97C3A"/>
    <w:rsid w:val="00B97CCB"/>
    <w:rsid w:val="00BA0397"/>
    <w:rsid w:val="00BA0424"/>
    <w:rsid w:val="00BA1753"/>
    <w:rsid w:val="00BA17B9"/>
    <w:rsid w:val="00BA1F2C"/>
    <w:rsid w:val="00BA223F"/>
    <w:rsid w:val="00BA2399"/>
    <w:rsid w:val="00BA29B6"/>
    <w:rsid w:val="00BA2EA2"/>
    <w:rsid w:val="00BA3A3B"/>
    <w:rsid w:val="00BA3AE5"/>
    <w:rsid w:val="00BA4090"/>
    <w:rsid w:val="00BA4539"/>
    <w:rsid w:val="00BA47D5"/>
    <w:rsid w:val="00BA5857"/>
    <w:rsid w:val="00BA62E9"/>
    <w:rsid w:val="00BA630C"/>
    <w:rsid w:val="00BA6ADC"/>
    <w:rsid w:val="00BA6B9C"/>
    <w:rsid w:val="00BB0185"/>
    <w:rsid w:val="00BB0537"/>
    <w:rsid w:val="00BB0788"/>
    <w:rsid w:val="00BB0841"/>
    <w:rsid w:val="00BB0BC5"/>
    <w:rsid w:val="00BB1B5B"/>
    <w:rsid w:val="00BB2028"/>
    <w:rsid w:val="00BB2748"/>
    <w:rsid w:val="00BB2A48"/>
    <w:rsid w:val="00BB3880"/>
    <w:rsid w:val="00BB39A5"/>
    <w:rsid w:val="00BB3C6F"/>
    <w:rsid w:val="00BB431D"/>
    <w:rsid w:val="00BB5136"/>
    <w:rsid w:val="00BB5B02"/>
    <w:rsid w:val="00BB5FE8"/>
    <w:rsid w:val="00BB6490"/>
    <w:rsid w:val="00BB64C5"/>
    <w:rsid w:val="00BB6AF4"/>
    <w:rsid w:val="00BB6B6C"/>
    <w:rsid w:val="00BB6CF7"/>
    <w:rsid w:val="00BB7911"/>
    <w:rsid w:val="00BB7AD1"/>
    <w:rsid w:val="00BB7ECE"/>
    <w:rsid w:val="00BB7ED8"/>
    <w:rsid w:val="00BC044C"/>
    <w:rsid w:val="00BC05BD"/>
    <w:rsid w:val="00BC0761"/>
    <w:rsid w:val="00BC0C55"/>
    <w:rsid w:val="00BC0F17"/>
    <w:rsid w:val="00BC1298"/>
    <w:rsid w:val="00BC1602"/>
    <w:rsid w:val="00BC18E9"/>
    <w:rsid w:val="00BC199E"/>
    <w:rsid w:val="00BC1F55"/>
    <w:rsid w:val="00BC2293"/>
    <w:rsid w:val="00BC2983"/>
    <w:rsid w:val="00BC33A2"/>
    <w:rsid w:val="00BC3F30"/>
    <w:rsid w:val="00BC44D9"/>
    <w:rsid w:val="00BC4CCE"/>
    <w:rsid w:val="00BC526F"/>
    <w:rsid w:val="00BC5CE6"/>
    <w:rsid w:val="00BC5D09"/>
    <w:rsid w:val="00BC5F36"/>
    <w:rsid w:val="00BC6330"/>
    <w:rsid w:val="00BC634B"/>
    <w:rsid w:val="00BC68EA"/>
    <w:rsid w:val="00BC6DED"/>
    <w:rsid w:val="00BC6FEC"/>
    <w:rsid w:val="00BC71C6"/>
    <w:rsid w:val="00BD04D5"/>
    <w:rsid w:val="00BD0623"/>
    <w:rsid w:val="00BD0E38"/>
    <w:rsid w:val="00BD11DC"/>
    <w:rsid w:val="00BD1399"/>
    <w:rsid w:val="00BD160D"/>
    <w:rsid w:val="00BD1784"/>
    <w:rsid w:val="00BD17CA"/>
    <w:rsid w:val="00BD2352"/>
    <w:rsid w:val="00BD2EDE"/>
    <w:rsid w:val="00BD31C5"/>
    <w:rsid w:val="00BD3AFF"/>
    <w:rsid w:val="00BD3E5A"/>
    <w:rsid w:val="00BD4733"/>
    <w:rsid w:val="00BD4B9B"/>
    <w:rsid w:val="00BD5103"/>
    <w:rsid w:val="00BD546E"/>
    <w:rsid w:val="00BD5CD4"/>
    <w:rsid w:val="00BD5FD5"/>
    <w:rsid w:val="00BD6047"/>
    <w:rsid w:val="00BD6346"/>
    <w:rsid w:val="00BD6A77"/>
    <w:rsid w:val="00BD6B6A"/>
    <w:rsid w:val="00BD6D74"/>
    <w:rsid w:val="00BD7171"/>
    <w:rsid w:val="00BD7407"/>
    <w:rsid w:val="00BD76A6"/>
    <w:rsid w:val="00BD776F"/>
    <w:rsid w:val="00BE019F"/>
    <w:rsid w:val="00BE03B4"/>
    <w:rsid w:val="00BE0400"/>
    <w:rsid w:val="00BE0450"/>
    <w:rsid w:val="00BE0EDF"/>
    <w:rsid w:val="00BE11FC"/>
    <w:rsid w:val="00BE258E"/>
    <w:rsid w:val="00BE2B9E"/>
    <w:rsid w:val="00BE35A4"/>
    <w:rsid w:val="00BE363C"/>
    <w:rsid w:val="00BE3726"/>
    <w:rsid w:val="00BE3B27"/>
    <w:rsid w:val="00BE3B6B"/>
    <w:rsid w:val="00BE4157"/>
    <w:rsid w:val="00BE478C"/>
    <w:rsid w:val="00BE50F2"/>
    <w:rsid w:val="00BE56D9"/>
    <w:rsid w:val="00BE5F14"/>
    <w:rsid w:val="00BE66B2"/>
    <w:rsid w:val="00BE6873"/>
    <w:rsid w:val="00BE70E4"/>
    <w:rsid w:val="00BE7402"/>
    <w:rsid w:val="00BE7875"/>
    <w:rsid w:val="00BE7C34"/>
    <w:rsid w:val="00BF02BD"/>
    <w:rsid w:val="00BF0625"/>
    <w:rsid w:val="00BF0A87"/>
    <w:rsid w:val="00BF0B9D"/>
    <w:rsid w:val="00BF1371"/>
    <w:rsid w:val="00BF16AF"/>
    <w:rsid w:val="00BF1A8A"/>
    <w:rsid w:val="00BF22CB"/>
    <w:rsid w:val="00BF29D9"/>
    <w:rsid w:val="00BF3873"/>
    <w:rsid w:val="00BF393C"/>
    <w:rsid w:val="00BF3995"/>
    <w:rsid w:val="00BF42D6"/>
    <w:rsid w:val="00BF4623"/>
    <w:rsid w:val="00BF5694"/>
    <w:rsid w:val="00BF5EAD"/>
    <w:rsid w:val="00BF7244"/>
    <w:rsid w:val="00C00003"/>
    <w:rsid w:val="00C009F2"/>
    <w:rsid w:val="00C00DAA"/>
    <w:rsid w:val="00C012FF"/>
    <w:rsid w:val="00C01DD4"/>
    <w:rsid w:val="00C01FA8"/>
    <w:rsid w:val="00C02B0E"/>
    <w:rsid w:val="00C02C99"/>
    <w:rsid w:val="00C02E96"/>
    <w:rsid w:val="00C0387A"/>
    <w:rsid w:val="00C03CF1"/>
    <w:rsid w:val="00C04372"/>
    <w:rsid w:val="00C05D6D"/>
    <w:rsid w:val="00C06EAD"/>
    <w:rsid w:val="00C072FB"/>
    <w:rsid w:val="00C07408"/>
    <w:rsid w:val="00C07C3D"/>
    <w:rsid w:val="00C07E43"/>
    <w:rsid w:val="00C10522"/>
    <w:rsid w:val="00C106B2"/>
    <w:rsid w:val="00C107A8"/>
    <w:rsid w:val="00C108A2"/>
    <w:rsid w:val="00C11143"/>
    <w:rsid w:val="00C115EF"/>
    <w:rsid w:val="00C116FD"/>
    <w:rsid w:val="00C119F2"/>
    <w:rsid w:val="00C11B5E"/>
    <w:rsid w:val="00C11E98"/>
    <w:rsid w:val="00C130E6"/>
    <w:rsid w:val="00C136CC"/>
    <w:rsid w:val="00C136F4"/>
    <w:rsid w:val="00C13D7D"/>
    <w:rsid w:val="00C1493B"/>
    <w:rsid w:val="00C14C35"/>
    <w:rsid w:val="00C1505E"/>
    <w:rsid w:val="00C15E19"/>
    <w:rsid w:val="00C16825"/>
    <w:rsid w:val="00C16D18"/>
    <w:rsid w:val="00C16D21"/>
    <w:rsid w:val="00C172D4"/>
    <w:rsid w:val="00C178D3"/>
    <w:rsid w:val="00C20694"/>
    <w:rsid w:val="00C208A2"/>
    <w:rsid w:val="00C20EC7"/>
    <w:rsid w:val="00C20F9B"/>
    <w:rsid w:val="00C21B3A"/>
    <w:rsid w:val="00C21C54"/>
    <w:rsid w:val="00C223A4"/>
    <w:rsid w:val="00C225BB"/>
    <w:rsid w:val="00C22FA3"/>
    <w:rsid w:val="00C2315B"/>
    <w:rsid w:val="00C2402D"/>
    <w:rsid w:val="00C2557F"/>
    <w:rsid w:val="00C25A59"/>
    <w:rsid w:val="00C25C3C"/>
    <w:rsid w:val="00C25D84"/>
    <w:rsid w:val="00C26896"/>
    <w:rsid w:val="00C2700E"/>
    <w:rsid w:val="00C2753D"/>
    <w:rsid w:val="00C279BE"/>
    <w:rsid w:val="00C27B15"/>
    <w:rsid w:val="00C300E1"/>
    <w:rsid w:val="00C30C36"/>
    <w:rsid w:val="00C30E20"/>
    <w:rsid w:val="00C31FF5"/>
    <w:rsid w:val="00C32C97"/>
    <w:rsid w:val="00C331A0"/>
    <w:rsid w:val="00C332B6"/>
    <w:rsid w:val="00C3354C"/>
    <w:rsid w:val="00C33615"/>
    <w:rsid w:val="00C336F2"/>
    <w:rsid w:val="00C3393A"/>
    <w:rsid w:val="00C33D61"/>
    <w:rsid w:val="00C34656"/>
    <w:rsid w:val="00C3482E"/>
    <w:rsid w:val="00C34D28"/>
    <w:rsid w:val="00C367B2"/>
    <w:rsid w:val="00C36A13"/>
    <w:rsid w:val="00C36FA2"/>
    <w:rsid w:val="00C3705E"/>
    <w:rsid w:val="00C375C6"/>
    <w:rsid w:val="00C40C45"/>
    <w:rsid w:val="00C40D9F"/>
    <w:rsid w:val="00C40F07"/>
    <w:rsid w:val="00C41418"/>
    <w:rsid w:val="00C4174C"/>
    <w:rsid w:val="00C43352"/>
    <w:rsid w:val="00C436E0"/>
    <w:rsid w:val="00C437CD"/>
    <w:rsid w:val="00C43829"/>
    <w:rsid w:val="00C43D9D"/>
    <w:rsid w:val="00C44686"/>
    <w:rsid w:val="00C44A17"/>
    <w:rsid w:val="00C44CC6"/>
    <w:rsid w:val="00C450F0"/>
    <w:rsid w:val="00C4512D"/>
    <w:rsid w:val="00C4587D"/>
    <w:rsid w:val="00C45CCB"/>
    <w:rsid w:val="00C467C2"/>
    <w:rsid w:val="00C47344"/>
    <w:rsid w:val="00C47D4E"/>
    <w:rsid w:val="00C50436"/>
    <w:rsid w:val="00C50947"/>
    <w:rsid w:val="00C50A67"/>
    <w:rsid w:val="00C50E58"/>
    <w:rsid w:val="00C514B4"/>
    <w:rsid w:val="00C5239C"/>
    <w:rsid w:val="00C527B3"/>
    <w:rsid w:val="00C52CB3"/>
    <w:rsid w:val="00C52E51"/>
    <w:rsid w:val="00C53261"/>
    <w:rsid w:val="00C53709"/>
    <w:rsid w:val="00C5373D"/>
    <w:rsid w:val="00C5416F"/>
    <w:rsid w:val="00C54381"/>
    <w:rsid w:val="00C54DBC"/>
    <w:rsid w:val="00C556CD"/>
    <w:rsid w:val="00C55B89"/>
    <w:rsid w:val="00C55C2F"/>
    <w:rsid w:val="00C55DA3"/>
    <w:rsid w:val="00C60251"/>
    <w:rsid w:val="00C60763"/>
    <w:rsid w:val="00C609F7"/>
    <w:rsid w:val="00C60AA0"/>
    <w:rsid w:val="00C61243"/>
    <w:rsid w:val="00C614C2"/>
    <w:rsid w:val="00C616AE"/>
    <w:rsid w:val="00C6199B"/>
    <w:rsid w:val="00C629A2"/>
    <w:rsid w:val="00C62D15"/>
    <w:rsid w:val="00C6328B"/>
    <w:rsid w:val="00C63549"/>
    <w:rsid w:val="00C6517A"/>
    <w:rsid w:val="00C65379"/>
    <w:rsid w:val="00C6590E"/>
    <w:rsid w:val="00C664CC"/>
    <w:rsid w:val="00C665B3"/>
    <w:rsid w:val="00C66A34"/>
    <w:rsid w:val="00C675F7"/>
    <w:rsid w:val="00C70410"/>
    <w:rsid w:val="00C70A26"/>
    <w:rsid w:val="00C72653"/>
    <w:rsid w:val="00C72CFA"/>
    <w:rsid w:val="00C73919"/>
    <w:rsid w:val="00C7398A"/>
    <w:rsid w:val="00C74459"/>
    <w:rsid w:val="00C74A6B"/>
    <w:rsid w:val="00C74B3C"/>
    <w:rsid w:val="00C74C6A"/>
    <w:rsid w:val="00C7569B"/>
    <w:rsid w:val="00C75732"/>
    <w:rsid w:val="00C7583D"/>
    <w:rsid w:val="00C75850"/>
    <w:rsid w:val="00C75E8F"/>
    <w:rsid w:val="00C760D0"/>
    <w:rsid w:val="00C761C8"/>
    <w:rsid w:val="00C766F4"/>
    <w:rsid w:val="00C76F61"/>
    <w:rsid w:val="00C77AF0"/>
    <w:rsid w:val="00C77AF6"/>
    <w:rsid w:val="00C77E2B"/>
    <w:rsid w:val="00C80178"/>
    <w:rsid w:val="00C80251"/>
    <w:rsid w:val="00C803FF"/>
    <w:rsid w:val="00C80625"/>
    <w:rsid w:val="00C816C1"/>
    <w:rsid w:val="00C81CD1"/>
    <w:rsid w:val="00C81EAD"/>
    <w:rsid w:val="00C82035"/>
    <w:rsid w:val="00C82E3A"/>
    <w:rsid w:val="00C839A0"/>
    <w:rsid w:val="00C84E48"/>
    <w:rsid w:val="00C84F89"/>
    <w:rsid w:val="00C8537C"/>
    <w:rsid w:val="00C8539A"/>
    <w:rsid w:val="00C855B7"/>
    <w:rsid w:val="00C85780"/>
    <w:rsid w:val="00C861A4"/>
    <w:rsid w:val="00C86DAC"/>
    <w:rsid w:val="00C87114"/>
    <w:rsid w:val="00C87759"/>
    <w:rsid w:val="00C90132"/>
    <w:rsid w:val="00C90595"/>
    <w:rsid w:val="00C908A1"/>
    <w:rsid w:val="00C91084"/>
    <w:rsid w:val="00C9165C"/>
    <w:rsid w:val="00C91C97"/>
    <w:rsid w:val="00C922D5"/>
    <w:rsid w:val="00C92967"/>
    <w:rsid w:val="00C9374B"/>
    <w:rsid w:val="00C94ECA"/>
    <w:rsid w:val="00C95ECD"/>
    <w:rsid w:val="00C96E1F"/>
    <w:rsid w:val="00C9745F"/>
    <w:rsid w:val="00C97493"/>
    <w:rsid w:val="00CA0337"/>
    <w:rsid w:val="00CA0620"/>
    <w:rsid w:val="00CA0C99"/>
    <w:rsid w:val="00CA12A0"/>
    <w:rsid w:val="00CA19AD"/>
    <w:rsid w:val="00CA1B72"/>
    <w:rsid w:val="00CA3316"/>
    <w:rsid w:val="00CA3684"/>
    <w:rsid w:val="00CA3F48"/>
    <w:rsid w:val="00CA4198"/>
    <w:rsid w:val="00CA47A0"/>
    <w:rsid w:val="00CA4CDD"/>
    <w:rsid w:val="00CA5E2C"/>
    <w:rsid w:val="00CA60BF"/>
    <w:rsid w:val="00CA64B7"/>
    <w:rsid w:val="00CA66F8"/>
    <w:rsid w:val="00CA678B"/>
    <w:rsid w:val="00CA6B69"/>
    <w:rsid w:val="00CA6DCB"/>
    <w:rsid w:val="00CA6E6A"/>
    <w:rsid w:val="00CA7EED"/>
    <w:rsid w:val="00CB0105"/>
    <w:rsid w:val="00CB0448"/>
    <w:rsid w:val="00CB1AD3"/>
    <w:rsid w:val="00CB2814"/>
    <w:rsid w:val="00CB2AC6"/>
    <w:rsid w:val="00CB2B95"/>
    <w:rsid w:val="00CB2E18"/>
    <w:rsid w:val="00CB2E6B"/>
    <w:rsid w:val="00CB39DF"/>
    <w:rsid w:val="00CB3F20"/>
    <w:rsid w:val="00CB46A8"/>
    <w:rsid w:val="00CB56EC"/>
    <w:rsid w:val="00CB629F"/>
    <w:rsid w:val="00CB6638"/>
    <w:rsid w:val="00CB6924"/>
    <w:rsid w:val="00CB6939"/>
    <w:rsid w:val="00CB7334"/>
    <w:rsid w:val="00CB7399"/>
    <w:rsid w:val="00CC05A7"/>
    <w:rsid w:val="00CC0E25"/>
    <w:rsid w:val="00CC14F0"/>
    <w:rsid w:val="00CC22BD"/>
    <w:rsid w:val="00CC2467"/>
    <w:rsid w:val="00CC27EB"/>
    <w:rsid w:val="00CC32A8"/>
    <w:rsid w:val="00CC33CF"/>
    <w:rsid w:val="00CC3A22"/>
    <w:rsid w:val="00CC3A82"/>
    <w:rsid w:val="00CC4B85"/>
    <w:rsid w:val="00CC4DBF"/>
    <w:rsid w:val="00CC4DC9"/>
    <w:rsid w:val="00CC5045"/>
    <w:rsid w:val="00CC517B"/>
    <w:rsid w:val="00CC5258"/>
    <w:rsid w:val="00CC5D78"/>
    <w:rsid w:val="00CC6547"/>
    <w:rsid w:val="00CC6A1F"/>
    <w:rsid w:val="00CC6C09"/>
    <w:rsid w:val="00CC769B"/>
    <w:rsid w:val="00CC7AB1"/>
    <w:rsid w:val="00CD03B6"/>
    <w:rsid w:val="00CD0A1E"/>
    <w:rsid w:val="00CD0F29"/>
    <w:rsid w:val="00CD14B5"/>
    <w:rsid w:val="00CD1AB2"/>
    <w:rsid w:val="00CD1EFB"/>
    <w:rsid w:val="00CD2743"/>
    <w:rsid w:val="00CD2A11"/>
    <w:rsid w:val="00CD2A2C"/>
    <w:rsid w:val="00CD3D24"/>
    <w:rsid w:val="00CD3F03"/>
    <w:rsid w:val="00CD5490"/>
    <w:rsid w:val="00CD5B0F"/>
    <w:rsid w:val="00CD734D"/>
    <w:rsid w:val="00CD7864"/>
    <w:rsid w:val="00CD79FB"/>
    <w:rsid w:val="00CE021E"/>
    <w:rsid w:val="00CE028F"/>
    <w:rsid w:val="00CE0988"/>
    <w:rsid w:val="00CE1F97"/>
    <w:rsid w:val="00CE20CC"/>
    <w:rsid w:val="00CE2B1A"/>
    <w:rsid w:val="00CE2FDD"/>
    <w:rsid w:val="00CE3829"/>
    <w:rsid w:val="00CE38E6"/>
    <w:rsid w:val="00CE3C94"/>
    <w:rsid w:val="00CE404E"/>
    <w:rsid w:val="00CE47A6"/>
    <w:rsid w:val="00CE5259"/>
    <w:rsid w:val="00CE5CA4"/>
    <w:rsid w:val="00CE6B3E"/>
    <w:rsid w:val="00CF02FA"/>
    <w:rsid w:val="00CF19BD"/>
    <w:rsid w:val="00CF2251"/>
    <w:rsid w:val="00CF30E7"/>
    <w:rsid w:val="00CF31E1"/>
    <w:rsid w:val="00CF33CB"/>
    <w:rsid w:val="00CF37F0"/>
    <w:rsid w:val="00CF4310"/>
    <w:rsid w:val="00CF75F3"/>
    <w:rsid w:val="00CF778A"/>
    <w:rsid w:val="00CF7F6C"/>
    <w:rsid w:val="00D000AF"/>
    <w:rsid w:val="00D002D8"/>
    <w:rsid w:val="00D003D3"/>
    <w:rsid w:val="00D0061B"/>
    <w:rsid w:val="00D00628"/>
    <w:rsid w:val="00D00721"/>
    <w:rsid w:val="00D008DF"/>
    <w:rsid w:val="00D00BB8"/>
    <w:rsid w:val="00D00E81"/>
    <w:rsid w:val="00D01403"/>
    <w:rsid w:val="00D02019"/>
    <w:rsid w:val="00D02244"/>
    <w:rsid w:val="00D02329"/>
    <w:rsid w:val="00D0269F"/>
    <w:rsid w:val="00D026DF"/>
    <w:rsid w:val="00D02701"/>
    <w:rsid w:val="00D027BB"/>
    <w:rsid w:val="00D03681"/>
    <w:rsid w:val="00D037EC"/>
    <w:rsid w:val="00D03A3B"/>
    <w:rsid w:val="00D04CA7"/>
    <w:rsid w:val="00D04DA7"/>
    <w:rsid w:val="00D04EA2"/>
    <w:rsid w:val="00D052D6"/>
    <w:rsid w:val="00D05CB1"/>
    <w:rsid w:val="00D06242"/>
    <w:rsid w:val="00D062B8"/>
    <w:rsid w:val="00D06457"/>
    <w:rsid w:val="00D073A9"/>
    <w:rsid w:val="00D07499"/>
    <w:rsid w:val="00D10814"/>
    <w:rsid w:val="00D1084D"/>
    <w:rsid w:val="00D10C05"/>
    <w:rsid w:val="00D115E0"/>
    <w:rsid w:val="00D1274E"/>
    <w:rsid w:val="00D1276D"/>
    <w:rsid w:val="00D12DEA"/>
    <w:rsid w:val="00D12E84"/>
    <w:rsid w:val="00D13034"/>
    <w:rsid w:val="00D1342C"/>
    <w:rsid w:val="00D13ACF"/>
    <w:rsid w:val="00D13C9D"/>
    <w:rsid w:val="00D13F5D"/>
    <w:rsid w:val="00D14922"/>
    <w:rsid w:val="00D153B8"/>
    <w:rsid w:val="00D1634B"/>
    <w:rsid w:val="00D1636C"/>
    <w:rsid w:val="00D16613"/>
    <w:rsid w:val="00D1675C"/>
    <w:rsid w:val="00D16D9E"/>
    <w:rsid w:val="00D16E50"/>
    <w:rsid w:val="00D16F7C"/>
    <w:rsid w:val="00D1714D"/>
    <w:rsid w:val="00D201FF"/>
    <w:rsid w:val="00D203E1"/>
    <w:rsid w:val="00D212AB"/>
    <w:rsid w:val="00D21A06"/>
    <w:rsid w:val="00D21D53"/>
    <w:rsid w:val="00D229F2"/>
    <w:rsid w:val="00D22CE4"/>
    <w:rsid w:val="00D22EF9"/>
    <w:rsid w:val="00D2320C"/>
    <w:rsid w:val="00D23297"/>
    <w:rsid w:val="00D2393A"/>
    <w:rsid w:val="00D23B0F"/>
    <w:rsid w:val="00D23B1C"/>
    <w:rsid w:val="00D23D1C"/>
    <w:rsid w:val="00D24133"/>
    <w:rsid w:val="00D246AC"/>
    <w:rsid w:val="00D246BD"/>
    <w:rsid w:val="00D24819"/>
    <w:rsid w:val="00D24DD8"/>
    <w:rsid w:val="00D250A4"/>
    <w:rsid w:val="00D2518C"/>
    <w:rsid w:val="00D26900"/>
    <w:rsid w:val="00D26E13"/>
    <w:rsid w:val="00D27C4E"/>
    <w:rsid w:val="00D30D2C"/>
    <w:rsid w:val="00D31EB3"/>
    <w:rsid w:val="00D31F8F"/>
    <w:rsid w:val="00D32315"/>
    <w:rsid w:val="00D329A1"/>
    <w:rsid w:val="00D3323C"/>
    <w:rsid w:val="00D332E8"/>
    <w:rsid w:val="00D33B9E"/>
    <w:rsid w:val="00D33C37"/>
    <w:rsid w:val="00D34D30"/>
    <w:rsid w:val="00D34FD9"/>
    <w:rsid w:val="00D35278"/>
    <w:rsid w:val="00D35715"/>
    <w:rsid w:val="00D35B1F"/>
    <w:rsid w:val="00D35D66"/>
    <w:rsid w:val="00D36C3B"/>
    <w:rsid w:val="00D37510"/>
    <w:rsid w:val="00D37539"/>
    <w:rsid w:val="00D376A7"/>
    <w:rsid w:val="00D40080"/>
    <w:rsid w:val="00D407F3"/>
    <w:rsid w:val="00D40A64"/>
    <w:rsid w:val="00D40D4A"/>
    <w:rsid w:val="00D41550"/>
    <w:rsid w:val="00D418BE"/>
    <w:rsid w:val="00D41CC8"/>
    <w:rsid w:val="00D42228"/>
    <w:rsid w:val="00D42992"/>
    <w:rsid w:val="00D43600"/>
    <w:rsid w:val="00D44343"/>
    <w:rsid w:val="00D45F90"/>
    <w:rsid w:val="00D46643"/>
    <w:rsid w:val="00D46930"/>
    <w:rsid w:val="00D47040"/>
    <w:rsid w:val="00D4770F"/>
    <w:rsid w:val="00D47769"/>
    <w:rsid w:val="00D47C7B"/>
    <w:rsid w:val="00D5028F"/>
    <w:rsid w:val="00D505EA"/>
    <w:rsid w:val="00D507BF"/>
    <w:rsid w:val="00D50914"/>
    <w:rsid w:val="00D50A0C"/>
    <w:rsid w:val="00D50B92"/>
    <w:rsid w:val="00D51941"/>
    <w:rsid w:val="00D51EF5"/>
    <w:rsid w:val="00D5262E"/>
    <w:rsid w:val="00D52CFA"/>
    <w:rsid w:val="00D5357E"/>
    <w:rsid w:val="00D544FE"/>
    <w:rsid w:val="00D545F7"/>
    <w:rsid w:val="00D54B8C"/>
    <w:rsid w:val="00D5524E"/>
    <w:rsid w:val="00D55425"/>
    <w:rsid w:val="00D557C3"/>
    <w:rsid w:val="00D55A84"/>
    <w:rsid w:val="00D55B8F"/>
    <w:rsid w:val="00D568F3"/>
    <w:rsid w:val="00D571E3"/>
    <w:rsid w:val="00D5720A"/>
    <w:rsid w:val="00D5760A"/>
    <w:rsid w:val="00D600A5"/>
    <w:rsid w:val="00D602F1"/>
    <w:rsid w:val="00D61105"/>
    <w:rsid w:val="00D61654"/>
    <w:rsid w:val="00D61DF0"/>
    <w:rsid w:val="00D61E23"/>
    <w:rsid w:val="00D628AC"/>
    <w:rsid w:val="00D62B7B"/>
    <w:rsid w:val="00D63103"/>
    <w:rsid w:val="00D63328"/>
    <w:rsid w:val="00D635ED"/>
    <w:rsid w:val="00D63A3F"/>
    <w:rsid w:val="00D63B41"/>
    <w:rsid w:val="00D63EC5"/>
    <w:rsid w:val="00D649F7"/>
    <w:rsid w:val="00D64E79"/>
    <w:rsid w:val="00D651D3"/>
    <w:rsid w:val="00D65290"/>
    <w:rsid w:val="00D65825"/>
    <w:rsid w:val="00D65F27"/>
    <w:rsid w:val="00D66172"/>
    <w:rsid w:val="00D667CD"/>
    <w:rsid w:val="00D66B33"/>
    <w:rsid w:val="00D66FD2"/>
    <w:rsid w:val="00D67071"/>
    <w:rsid w:val="00D6741B"/>
    <w:rsid w:val="00D6767D"/>
    <w:rsid w:val="00D70220"/>
    <w:rsid w:val="00D70AD8"/>
    <w:rsid w:val="00D713C7"/>
    <w:rsid w:val="00D71558"/>
    <w:rsid w:val="00D71F74"/>
    <w:rsid w:val="00D728DB"/>
    <w:rsid w:val="00D7411D"/>
    <w:rsid w:val="00D7445F"/>
    <w:rsid w:val="00D74D5C"/>
    <w:rsid w:val="00D755F6"/>
    <w:rsid w:val="00D75D25"/>
    <w:rsid w:val="00D7617E"/>
    <w:rsid w:val="00D76389"/>
    <w:rsid w:val="00D775EC"/>
    <w:rsid w:val="00D8012D"/>
    <w:rsid w:val="00D80280"/>
    <w:rsid w:val="00D80D0E"/>
    <w:rsid w:val="00D82C22"/>
    <w:rsid w:val="00D82E26"/>
    <w:rsid w:val="00D83A79"/>
    <w:rsid w:val="00D83F47"/>
    <w:rsid w:val="00D842E2"/>
    <w:rsid w:val="00D84E0C"/>
    <w:rsid w:val="00D853BD"/>
    <w:rsid w:val="00D8560C"/>
    <w:rsid w:val="00D85815"/>
    <w:rsid w:val="00D85A31"/>
    <w:rsid w:val="00D86279"/>
    <w:rsid w:val="00D86529"/>
    <w:rsid w:val="00D867F0"/>
    <w:rsid w:val="00D87002"/>
    <w:rsid w:val="00D87141"/>
    <w:rsid w:val="00D875BD"/>
    <w:rsid w:val="00D87688"/>
    <w:rsid w:val="00D87BA7"/>
    <w:rsid w:val="00D87CA9"/>
    <w:rsid w:val="00D87DCD"/>
    <w:rsid w:val="00D90793"/>
    <w:rsid w:val="00D90814"/>
    <w:rsid w:val="00D90B11"/>
    <w:rsid w:val="00D91969"/>
    <w:rsid w:val="00D91C45"/>
    <w:rsid w:val="00D91D37"/>
    <w:rsid w:val="00D92259"/>
    <w:rsid w:val="00D923B3"/>
    <w:rsid w:val="00D928B4"/>
    <w:rsid w:val="00D92E7A"/>
    <w:rsid w:val="00D92EF9"/>
    <w:rsid w:val="00D93969"/>
    <w:rsid w:val="00D94650"/>
    <w:rsid w:val="00D948CD"/>
    <w:rsid w:val="00D94F9E"/>
    <w:rsid w:val="00D95366"/>
    <w:rsid w:val="00D9546F"/>
    <w:rsid w:val="00D95C48"/>
    <w:rsid w:val="00D95C71"/>
    <w:rsid w:val="00D96872"/>
    <w:rsid w:val="00D97134"/>
    <w:rsid w:val="00DA09B9"/>
    <w:rsid w:val="00DA0CEB"/>
    <w:rsid w:val="00DA103B"/>
    <w:rsid w:val="00DA2062"/>
    <w:rsid w:val="00DA228A"/>
    <w:rsid w:val="00DA32F0"/>
    <w:rsid w:val="00DA380F"/>
    <w:rsid w:val="00DA491D"/>
    <w:rsid w:val="00DA4D1F"/>
    <w:rsid w:val="00DA4D23"/>
    <w:rsid w:val="00DA52C8"/>
    <w:rsid w:val="00DA696D"/>
    <w:rsid w:val="00DA6AD3"/>
    <w:rsid w:val="00DA6F15"/>
    <w:rsid w:val="00DA7374"/>
    <w:rsid w:val="00DB091D"/>
    <w:rsid w:val="00DB1626"/>
    <w:rsid w:val="00DB1E2A"/>
    <w:rsid w:val="00DB22FA"/>
    <w:rsid w:val="00DB33F2"/>
    <w:rsid w:val="00DB34D9"/>
    <w:rsid w:val="00DB3852"/>
    <w:rsid w:val="00DB3F46"/>
    <w:rsid w:val="00DB42F2"/>
    <w:rsid w:val="00DB491D"/>
    <w:rsid w:val="00DB589D"/>
    <w:rsid w:val="00DB6782"/>
    <w:rsid w:val="00DB6B9F"/>
    <w:rsid w:val="00DB6CA2"/>
    <w:rsid w:val="00DB6D50"/>
    <w:rsid w:val="00DB6DA4"/>
    <w:rsid w:val="00DB6F4A"/>
    <w:rsid w:val="00DB728D"/>
    <w:rsid w:val="00DB7E2D"/>
    <w:rsid w:val="00DC0805"/>
    <w:rsid w:val="00DC090B"/>
    <w:rsid w:val="00DC15B8"/>
    <w:rsid w:val="00DC197A"/>
    <w:rsid w:val="00DC2088"/>
    <w:rsid w:val="00DC24A2"/>
    <w:rsid w:val="00DC2978"/>
    <w:rsid w:val="00DC2F1A"/>
    <w:rsid w:val="00DC328A"/>
    <w:rsid w:val="00DC32E1"/>
    <w:rsid w:val="00DC33CD"/>
    <w:rsid w:val="00DC3A5A"/>
    <w:rsid w:val="00DC3E4F"/>
    <w:rsid w:val="00DC4384"/>
    <w:rsid w:val="00DC4CD6"/>
    <w:rsid w:val="00DC4EE1"/>
    <w:rsid w:val="00DC5277"/>
    <w:rsid w:val="00DC5B30"/>
    <w:rsid w:val="00DC5F7A"/>
    <w:rsid w:val="00DC78F0"/>
    <w:rsid w:val="00DC7B94"/>
    <w:rsid w:val="00DC7C34"/>
    <w:rsid w:val="00DD099A"/>
    <w:rsid w:val="00DD0C21"/>
    <w:rsid w:val="00DD1484"/>
    <w:rsid w:val="00DD1865"/>
    <w:rsid w:val="00DD277C"/>
    <w:rsid w:val="00DD34CD"/>
    <w:rsid w:val="00DD4F9A"/>
    <w:rsid w:val="00DD52EC"/>
    <w:rsid w:val="00DD56E3"/>
    <w:rsid w:val="00DD57F6"/>
    <w:rsid w:val="00DD6051"/>
    <w:rsid w:val="00DD6C99"/>
    <w:rsid w:val="00DD783F"/>
    <w:rsid w:val="00DD78A1"/>
    <w:rsid w:val="00DE0B73"/>
    <w:rsid w:val="00DE0DE1"/>
    <w:rsid w:val="00DE0DF8"/>
    <w:rsid w:val="00DE14FD"/>
    <w:rsid w:val="00DE1FB8"/>
    <w:rsid w:val="00DE3534"/>
    <w:rsid w:val="00DE38F5"/>
    <w:rsid w:val="00DE4971"/>
    <w:rsid w:val="00DE5D2F"/>
    <w:rsid w:val="00DE5DE6"/>
    <w:rsid w:val="00DE6077"/>
    <w:rsid w:val="00DE6359"/>
    <w:rsid w:val="00DE6954"/>
    <w:rsid w:val="00DF0009"/>
    <w:rsid w:val="00DF0198"/>
    <w:rsid w:val="00DF0B9B"/>
    <w:rsid w:val="00DF12BD"/>
    <w:rsid w:val="00DF1367"/>
    <w:rsid w:val="00DF13DA"/>
    <w:rsid w:val="00DF1E99"/>
    <w:rsid w:val="00DF1EED"/>
    <w:rsid w:val="00DF288E"/>
    <w:rsid w:val="00DF2E46"/>
    <w:rsid w:val="00DF3A35"/>
    <w:rsid w:val="00DF4969"/>
    <w:rsid w:val="00DF4AA0"/>
    <w:rsid w:val="00DF4BAF"/>
    <w:rsid w:val="00DF5CFA"/>
    <w:rsid w:val="00DF6A17"/>
    <w:rsid w:val="00DF6B59"/>
    <w:rsid w:val="00DF7494"/>
    <w:rsid w:val="00DF75ED"/>
    <w:rsid w:val="00DF7E15"/>
    <w:rsid w:val="00DF7ECD"/>
    <w:rsid w:val="00E00197"/>
    <w:rsid w:val="00E00A7C"/>
    <w:rsid w:val="00E00AED"/>
    <w:rsid w:val="00E00FEC"/>
    <w:rsid w:val="00E019A0"/>
    <w:rsid w:val="00E01A1F"/>
    <w:rsid w:val="00E01A42"/>
    <w:rsid w:val="00E0229B"/>
    <w:rsid w:val="00E02B17"/>
    <w:rsid w:val="00E03CAD"/>
    <w:rsid w:val="00E04268"/>
    <w:rsid w:val="00E047D7"/>
    <w:rsid w:val="00E04923"/>
    <w:rsid w:val="00E05180"/>
    <w:rsid w:val="00E0604A"/>
    <w:rsid w:val="00E0649B"/>
    <w:rsid w:val="00E0680C"/>
    <w:rsid w:val="00E073F0"/>
    <w:rsid w:val="00E076E1"/>
    <w:rsid w:val="00E07B13"/>
    <w:rsid w:val="00E07BCF"/>
    <w:rsid w:val="00E07F9F"/>
    <w:rsid w:val="00E1000D"/>
    <w:rsid w:val="00E10457"/>
    <w:rsid w:val="00E10868"/>
    <w:rsid w:val="00E10A03"/>
    <w:rsid w:val="00E11E7A"/>
    <w:rsid w:val="00E121EC"/>
    <w:rsid w:val="00E12BA5"/>
    <w:rsid w:val="00E12DD4"/>
    <w:rsid w:val="00E13651"/>
    <w:rsid w:val="00E148D1"/>
    <w:rsid w:val="00E14D75"/>
    <w:rsid w:val="00E14FE9"/>
    <w:rsid w:val="00E1530B"/>
    <w:rsid w:val="00E15511"/>
    <w:rsid w:val="00E15680"/>
    <w:rsid w:val="00E158E5"/>
    <w:rsid w:val="00E15E84"/>
    <w:rsid w:val="00E1613C"/>
    <w:rsid w:val="00E161B9"/>
    <w:rsid w:val="00E170E9"/>
    <w:rsid w:val="00E175F2"/>
    <w:rsid w:val="00E17893"/>
    <w:rsid w:val="00E178AE"/>
    <w:rsid w:val="00E219BE"/>
    <w:rsid w:val="00E21D51"/>
    <w:rsid w:val="00E2282A"/>
    <w:rsid w:val="00E22D7C"/>
    <w:rsid w:val="00E23B7C"/>
    <w:rsid w:val="00E23CB1"/>
    <w:rsid w:val="00E23EDC"/>
    <w:rsid w:val="00E24B5D"/>
    <w:rsid w:val="00E25BF7"/>
    <w:rsid w:val="00E25CF5"/>
    <w:rsid w:val="00E26B39"/>
    <w:rsid w:val="00E27079"/>
    <w:rsid w:val="00E275A8"/>
    <w:rsid w:val="00E27A74"/>
    <w:rsid w:val="00E304CA"/>
    <w:rsid w:val="00E3060D"/>
    <w:rsid w:val="00E30893"/>
    <w:rsid w:val="00E3098A"/>
    <w:rsid w:val="00E30A8D"/>
    <w:rsid w:val="00E31491"/>
    <w:rsid w:val="00E31804"/>
    <w:rsid w:val="00E31955"/>
    <w:rsid w:val="00E319DE"/>
    <w:rsid w:val="00E31F86"/>
    <w:rsid w:val="00E32048"/>
    <w:rsid w:val="00E32965"/>
    <w:rsid w:val="00E3301A"/>
    <w:rsid w:val="00E33759"/>
    <w:rsid w:val="00E3470D"/>
    <w:rsid w:val="00E34758"/>
    <w:rsid w:val="00E34E4D"/>
    <w:rsid w:val="00E35253"/>
    <w:rsid w:val="00E35514"/>
    <w:rsid w:val="00E3563E"/>
    <w:rsid w:val="00E35B41"/>
    <w:rsid w:val="00E35C29"/>
    <w:rsid w:val="00E37031"/>
    <w:rsid w:val="00E37B6C"/>
    <w:rsid w:val="00E40328"/>
    <w:rsid w:val="00E40D85"/>
    <w:rsid w:val="00E4259C"/>
    <w:rsid w:val="00E42F0E"/>
    <w:rsid w:val="00E4385A"/>
    <w:rsid w:val="00E43E64"/>
    <w:rsid w:val="00E44221"/>
    <w:rsid w:val="00E443DB"/>
    <w:rsid w:val="00E44687"/>
    <w:rsid w:val="00E44A76"/>
    <w:rsid w:val="00E44C61"/>
    <w:rsid w:val="00E44CBC"/>
    <w:rsid w:val="00E451DE"/>
    <w:rsid w:val="00E454F6"/>
    <w:rsid w:val="00E45853"/>
    <w:rsid w:val="00E4616D"/>
    <w:rsid w:val="00E4627B"/>
    <w:rsid w:val="00E46A6B"/>
    <w:rsid w:val="00E4717F"/>
    <w:rsid w:val="00E4777A"/>
    <w:rsid w:val="00E47EC9"/>
    <w:rsid w:val="00E500FE"/>
    <w:rsid w:val="00E501EB"/>
    <w:rsid w:val="00E50341"/>
    <w:rsid w:val="00E50786"/>
    <w:rsid w:val="00E507FC"/>
    <w:rsid w:val="00E5193F"/>
    <w:rsid w:val="00E52296"/>
    <w:rsid w:val="00E52392"/>
    <w:rsid w:val="00E52FFE"/>
    <w:rsid w:val="00E5386A"/>
    <w:rsid w:val="00E53E44"/>
    <w:rsid w:val="00E54617"/>
    <w:rsid w:val="00E561CE"/>
    <w:rsid w:val="00E57F05"/>
    <w:rsid w:val="00E601E0"/>
    <w:rsid w:val="00E602DB"/>
    <w:rsid w:val="00E61398"/>
    <w:rsid w:val="00E613A4"/>
    <w:rsid w:val="00E61FAA"/>
    <w:rsid w:val="00E638D8"/>
    <w:rsid w:val="00E640A8"/>
    <w:rsid w:val="00E6417C"/>
    <w:rsid w:val="00E647DA"/>
    <w:rsid w:val="00E64802"/>
    <w:rsid w:val="00E64F4F"/>
    <w:rsid w:val="00E662BE"/>
    <w:rsid w:val="00E66CBC"/>
    <w:rsid w:val="00E6755E"/>
    <w:rsid w:val="00E67681"/>
    <w:rsid w:val="00E67C96"/>
    <w:rsid w:val="00E705D8"/>
    <w:rsid w:val="00E71AF0"/>
    <w:rsid w:val="00E71E3D"/>
    <w:rsid w:val="00E7288D"/>
    <w:rsid w:val="00E72B11"/>
    <w:rsid w:val="00E73100"/>
    <w:rsid w:val="00E7323A"/>
    <w:rsid w:val="00E73866"/>
    <w:rsid w:val="00E73F27"/>
    <w:rsid w:val="00E7437B"/>
    <w:rsid w:val="00E74754"/>
    <w:rsid w:val="00E753CF"/>
    <w:rsid w:val="00E75494"/>
    <w:rsid w:val="00E75CF9"/>
    <w:rsid w:val="00E75D51"/>
    <w:rsid w:val="00E75F19"/>
    <w:rsid w:val="00E76C95"/>
    <w:rsid w:val="00E77648"/>
    <w:rsid w:val="00E77851"/>
    <w:rsid w:val="00E8010D"/>
    <w:rsid w:val="00E810CB"/>
    <w:rsid w:val="00E817A8"/>
    <w:rsid w:val="00E81BF7"/>
    <w:rsid w:val="00E81F46"/>
    <w:rsid w:val="00E82327"/>
    <w:rsid w:val="00E82E77"/>
    <w:rsid w:val="00E83165"/>
    <w:rsid w:val="00E8326E"/>
    <w:rsid w:val="00E836F6"/>
    <w:rsid w:val="00E83F99"/>
    <w:rsid w:val="00E84067"/>
    <w:rsid w:val="00E841D8"/>
    <w:rsid w:val="00E84CF6"/>
    <w:rsid w:val="00E85278"/>
    <w:rsid w:val="00E863A9"/>
    <w:rsid w:val="00E86811"/>
    <w:rsid w:val="00E8788B"/>
    <w:rsid w:val="00E87D45"/>
    <w:rsid w:val="00E90631"/>
    <w:rsid w:val="00E90B70"/>
    <w:rsid w:val="00E91443"/>
    <w:rsid w:val="00E9174F"/>
    <w:rsid w:val="00E91F4D"/>
    <w:rsid w:val="00E9231B"/>
    <w:rsid w:val="00E93131"/>
    <w:rsid w:val="00E9397F"/>
    <w:rsid w:val="00E939FC"/>
    <w:rsid w:val="00E93D41"/>
    <w:rsid w:val="00E93E30"/>
    <w:rsid w:val="00E93E7C"/>
    <w:rsid w:val="00E94340"/>
    <w:rsid w:val="00E94487"/>
    <w:rsid w:val="00E946A9"/>
    <w:rsid w:val="00E94969"/>
    <w:rsid w:val="00E94DC8"/>
    <w:rsid w:val="00E94E59"/>
    <w:rsid w:val="00E95CA5"/>
    <w:rsid w:val="00E96022"/>
    <w:rsid w:val="00E960F7"/>
    <w:rsid w:val="00E965E8"/>
    <w:rsid w:val="00E9688C"/>
    <w:rsid w:val="00E96AC8"/>
    <w:rsid w:val="00E97B51"/>
    <w:rsid w:val="00E97F3F"/>
    <w:rsid w:val="00EA094F"/>
    <w:rsid w:val="00EA0E6B"/>
    <w:rsid w:val="00EA115C"/>
    <w:rsid w:val="00EA1329"/>
    <w:rsid w:val="00EA14B7"/>
    <w:rsid w:val="00EA26E9"/>
    <w:rsid w:val="00EA288B"/>
    <w:rsid w:val="00EA2AC8"/>
    <w:rsid w:val="00EA2DD0"/>
    <w:rsid w:val="00EA3572"/>
    <w:rsid w:val="00EA3FD8"/>
    <w:rsid w:val="00EA423C"/>
    <w:rsid w:val="00EA4AD8"/>
    <w:rsid w:val="00EA4E8B"/>
    <w:rsid w:val="00EA4FE9"/>
    <w:rsid w:val="00EA578C"/>
    <w:rsid w:val="00EA5CFE"/>
    <w:rsid w:val="00EA6AE0"/>
    <w:rsid w:val="00EA6AE8"/>
    <w:rsid w:val="00EA6CE4"/>
    <w:rsid w:val="00EA768B"/>
    <w:rsid w:val="00EA7D19"/>
    <w:rsid w:val="00EA7E5F"/>
    <w:rsid w:val="00EA7EAD"/>
    <w:rsid w:val="00EB01CD"/>
    <w:rsid w:val="00EB0C77"/>
    <w:rsid w:val="00EB0EB3"/>
    <w:rsid w:val="00EB1106"/>
    <w:rsid w:val="00EB111E"/>
    <w:rsid w:val="00EB1446"/>
    <w:rsid w:val="00EB150B"/>
    <w:rsid w:val="00EB1515"/>
    <w:rsid w:val="00EB2EEA"/>
    <w:rsid w:val="00EB3B1B"/>
    <w:rsid w:val="00EB43CD"/>
    <w:rsid w:val="00EB4645"/>
    <w:rsid w:val="00EB46C2"/>
    <w:rsid w:val="00EB49AA"/>
    <w:rsid w:val="00EB5DC4"/>
    <w:rsid w:val="00EB6093"/>
    <w:rsid w:val="00EB6E03"/>
    <w:rsid w:val="00EB744E"/>
    <w:rsid w:val="00EB74C5"/>
    <w:rsid w:val="00EB7BE7"/>
    <w:rsid w:val="00EC17C6"/>
    <w:rsid w:val="00EC2934"/>
    <w:rsid w:val="00EC2ABF"/>
    <w:rsid w:val="00EC30CD"/>
    <w:rsid w:val="00EC3613"/>
    <w:rsid w:val="00EC485C"/>
    <w:rsid w:val="00EC5D67"/>
    <w:rsid w:val="00EC74C6"/>
    <w:rsid w:val="00ED0225"/>
    <w:rsid w:val="00ED0642"/>
    <w:rsid w:val="00ED08F8"/>
    <w:rsid w:val="00ED129A"/>
    <w:rsid w:val="00ED1A6E"/>
    <w:rsid w:val="00ED1FCD"/>
    <w:rsid w:val="00ED23EE"/>
    <w:rsid w:val="00ED2B5A"/>
    <w:rsid w:val="00ED3A4E"/>
    <w:rsid w:val="00ED407B"/>
    <w:rsid w:val="00ED4515"/>
    <w:rsid w:val="00ED5B9E"/>
    <w:rsid w:val="00ED625A"/>
    <w:rsid w:val="00ED62D6"/>
    <w:rsid w:val="00ED6CBF"/>
    <w:rsid w:val="00ED6DD5"/>
    <w:rsid w:val="00ED70FD"/>
    <w:rsid w:val="00ED7D66"/>
    <w:rsid w:val="00EE0561"/>
    <w:rsid w:val="00EE0617"/>
    <w:rsid w:val="00EE0BBC"/>
    <w:rsid w:val="00EE0E68"/>
    <w:rsid w:val="00EE1659"/>
    <w:rsid w:val="00EE16EC"/>
    <w:rsid w:val="00EE18EA"/>
    <w:rsid w:val="00EE1F37"/>
    <w:rsid w:val="00EE2226"/>
    <w:rsid w:val="00EE27C7"/>
    <w:rsid w:val="00EE2DA6"/>
    <w:rsid w:val="00EE3195"/>
    <w:rsid w:val="00EE31C3"/>
    <w:rsid w:val="00EE326D"/>
    <w:rsid w:val="00EE3C60"/>
    <w:rsid w:val="00EE40F7"/>
    <w:rsid w:val="00EE4404"/>
    <w:rsid w:val="00EE4604"/>
    <w:rsid w:val="00EE46F3"/>
    <w:rsid w:val="00EE4735"/>
    <w:rsid w:val="00EE4C84"/>
    <w:rsid w:val="00EE4D2B"/>
    <w:rsid w:val="00EE4DDB"/>
    <w:rsid w:val="00EE57E0"/>
    <w:rsid w:val="00EE6AB9"/>
    <w:rsid w:val="00EF0D81"/>
    <w:rsid w:val="00EF0DCE"/>
    <w:rsid w:val="00EF179C"/>
    <w:rsid w:val="00EF2521"/>
    <w:rsid w:val="00EF25CD"/>
    <w:rsid w:val="00EF2DFD"/>
    <w:rsid w:val="00EF3242"/>
    <w:rsid w:val="00EF3252"/>
    <w:rsid w:val="00EF330D"/>
    <w:rsid w:val="00EF3723"/>
    <w:rsid w:val="00EF49F6"/>
    <w:rsid w:val="00EF4E66"/>
    <w:rsid w:val="00EF5E37"/>
    <w:rsid w:val="00EF6051"/>
    <w:rsid w:val="00EF674D"/>
    <w:rsid w:val="00EF6D1F"/>
    <w:rsid w:val="00EF6F36"/>
    <w:rsid w:val="00EF77D7"/>
    <w:rsid w:val="00EF7B4A"/>
    <w:rsid w:val="00F00552"/>
    <w:rsid w:val="00F00731"/>
    <w:rsid w:val="00F01809"/>
    <w:rsid w:val="00F02D5B"/>
    <w:rsid w:val="00F03135"/>
    <w:rsid w:val="00F0355A"/>
    <w:rsid w:val="00F0362A"/>
    <w:rsid w:val="00F038C1"/>
    <w:rsid w:val="00F049BA"/>
    <w:rsid w:val="00F0568F"/>
    <w:rsid w:val="00F05A09"/>
    <w:rsid w:val="00F0737A"/>
    <w:rsid w:val="00F0763B"/>
    <w:rsid w:val="00F07CA0"/>
    <w:rsid w:val="00F10FAA"/>
    <w:rsid w:val="00F1127B"/>
    <w:rsid w:val="00F1149B"/>
    <w:rsid w:val="00F117FC"/>
    <w:rsid w:val="00F1203E"/>
    <w:rsid w:val="00F125B7"/>
    <w:rsid w:val="00F12806"/>
    <w:rsid w:val="00F12956"/>
    <w:rsid w:val="00F13121"/>
    <w:rsid w:val="00F13644"/>
    <w:rsid w:val="00F137F7"/>
    <w:rsid w:val="00F1389E"/>
    <w:rsid w:val="00F13E71"/>
    <w:rsid w:val="00F14075"/>
    <w:rsid w:val="00F1499D"/>
    <w:rsid w:val="00F149C1"/>
    <w:rsid w:val="00F14E1D"/>
    <w:rsid w:val="00F14F7A"/>
    <w:rsid w:val="00F15C63"/>
    <w:rsid w:val="00F15C7A"/>
    <w:rsid w:val="00F15D30"/>
    <w:rsid w:val="00F16470"/>
    <w:rsid w:val="00F16721"/>
    <w:rsid w:val="00F16A94"/>
    <w:rsid w:val="00F16F15"/>
    <w:rsid w:val="00F17491"/>
    <w:rsid w:val="00F20D82"/>
    <w:rsid w:val="00F20E8F"/>
    <w:rsid w:val="00F20F66"/>
    <w:rsid w:val="00F210BA"/>
    <w:rsid w:val="00F2125D"/>
    <w:rsid w:val="00F21A8A"/>
    <w:rsid w:val="00F21C9B"/>
    <w:rsid w:val="00F21CF2"/>
    <w:rsid w:val="00F22C50"/>
    <w:rsid w:val="00F2309C"/>
    <w:rsid w:val="00F2363F"/>
    <w:rsid w:val="00F239F9"/>
    <w:rsid w:val="00F23C09"/>
    <w:rsid w:val="00F24089"/>
    <w:rsid w:val="00F242FE"/>
    <w:rsid w:val="00F24DC6"/>
    <w:rsid w:val="00F25BE2"/>
    <w:rsid w:val="00F25CB0"/>
    <w:rsid w:val="00F26199"/>
    <w:rsid w:val="00F26B10"/>
    <w:rsid w:val="00F26D21"/>
    <w:rsid w:val="00F26DC3"/>
    <w:rsid w:val="00F26F05"/>
    <w:rsid w:val="00F271F3"/>
    <w:rsid w:val="00F27926"/>
    <w:rsid w:val="00F279C5"/>
    <w:rsid w:val="00F30583"/>
    <w:rsid w:val="00F30FCE"/>
    <w:rsid w:val="00F30FD3"/>
    <w:rsid w:val="00F31A26"/>
    <w:rsid w:val="00F31AB4"/>
    <w:rsid w:val="00F31D85"/>
    <w:rsid w:val="00F31E6A"/>
    <w:rsid w:val="00F3235F"/>
    <w:rsid w:val="00F32EC2"/>
    <w:rsid w:val="00F333AF"/>
    <w:rsid w:val="00F337E6"/>
    <w:rsid w:val="00F33814"/>
    <w:rsid w:val="00F33CD0"/>
    <w:rsid w:val="00F33F60"/>
    <w:rsid w:val="00F3445F"/>
    <w:rsid w:val="00F3458D"/>
    <w:rsid w:val="00F3467B"/>
    <w:rsid w:val="00F354E2"/>
    <w:rsid w:val="00F35731"/>
    <w:rsid w:val="00F35883"/>
    <w:rsid w:val="00F35905"/>
    <w:rsid w:val="00F365E9"/>
    <w:rsid w:val="00F36BB9"/>
    <w:rsid w:val="00F36E6C"/>
    <w:rsid w:val="00F37E14"/>
    <w:rsid w:val="00F37F02"/>
    <w:rsid w:val="00F40C9C"/>
    <w:rsid w:val="00F41BF2"/>
    <w:rsid w:val="00F420C8"/>
    <w:rsid w:val="00F424F9"/>
    <w:rsid w:val="00F426CD"/>
    <w:rsid w:val="00F43584"/>
    <w:rsid w:val="00F43617"/>
    <w:rsid w:val="00F437DC"/>
    <w:rsid w:val="00F4384A"/>
    <w:rsid w:val="00F43B8D"/>
    <w:rsid w:val="00F43D72"/>
    <w:rsid w:val="00F44441"/>
    <w:rsid w:val="00F44F29"/>
    <w:rsid w:val="00F44F72"/>
    <w:rsid w:val="00F45BCE"/>
    <w:rsid w:val="00F45BD1"/>
    <w:rsid w:val="00F46057"/>
    <w:rsid w:val="00F46836"/>
    <w:rsid w:val="00F46C6C"/>
    <w:rsid w:val="00F47AF3"/>
    <w:rsid w:val="00F47B43"/>
    <w:rsid w:val="00F50832"/>
    <w:rsid w:val="00F50A57"/>
    <w:rsid w:val="00F50BF6"/>
    <w:rsid w:val="00F51369"/>
    <w:rsid w:val="00F5166D"/>
    <w:rsid w:val="00F51992"/>
    <w:rsid w:val="00F52074"/>
    <w:rsid w:val="00F52326"/>
    <w:rsid w:val="00F524D0"/>
    <w:rsid w:val="00F524FC"/>
    <w:rsid w:val="00F52657"/>
    <w:rsid w:val="00F5268F"/>
    <w:rsid w:val="00F52737"/>
    <w:rsid w:val="00F52B4F"/>
    <w:rsid w:val="00F540A1"/>
    <w:rsid w:val="00F54388"/>
    <w:rsid w:val="00F55632"/>
    <w:rsid w:val="00F55654"/>
    <w:rsid w:val="00F569BF"/>
    <w:rsid w:val="00F57D8C"/>
    <w:rsid w:val="00F60047"/>
    <w:rsid w:val="00F60209"/>
    <w:rsid w:val="00F60488"/>
    <w:rsid w:val="00F6108B"/>
    <w:rsid w:val="00F62608"/>
    <w:rsid w:val="00F62632"/>
    <w:rsid w:val="00F62D58"/>
    <w:rsid w:val="00F62FB1"/>
    <w:rsid w:val="00F6305F"/>
    <w:rsid w:val="00F630BD"/>
    <w:rsid w:val="00F63E27"/>
    <w:rsid w:val="00F640A8"/>
    <w:rsid w:val="00F64391"/>
    <w:rsid w:val="00F6444F"/>
    <w:rsid w:val="00F64643"/>
    <w:rsid w:val="00F646A3"/>
    <w:rsid w:val="00F646C9"/>
    <w:rsid w:val="00F6503D"/>
    <w:rsid w:val="00F65E93"/>
    <w:rsid w:val="00F6622C"/>
    <w:rsid w:val="00F66599"/>
    <w:rsid w:val="00F672C5"/>
    <w:rsid w:val="00F67873"/>
    <w:rsid w:val="00F67FF4"/>
    <w:rsid w:val="00F700AB"/>
    <w:rsid w:val="00F70274"/>
    <w:rsid w:val="00F702B0"/>
    <w:rsid w:val="00F7076A"/>
    <w:rsid w:val="00F70E3A"/>
    <w:rsid w:val="00F70F95"/>
    <w:rsid w:val="00F70FB7"/>
    <w:rsid w:val="00F7148B"/>
    <w:rsid w:val="00F71E1E"/>
    <w:rsid w:val="00F733E0"/>
    <w:rsid w:val="00F7341F"/>
    <w:rsid w:val="00F737AF"/>
    <w:rsid w:val="00F73AB9"/>
    <w:rsid w:val="00F73EF4"/>
    <w:rsid w:val="00F740D8"/>
    <w:rsid w:val="00F746D1"/>
    <w:rsid w:val="00F75556"/>
    <w:rsid w:val="00F75569"/>
    <w:rsid w:val="00F75E82"/>
    <w:rsid w:val="00F7729E"/>
    <w:rsid w:val="00F775D0"/>
    <w:rsid w:val="00F77650"/>
    <w:rsid w:val="00F77CB0"/>
    <w:rsid w:val="00F77F90"/>
    <w:rsid w:val="00F80283"/>
    <w:rsid w:val="00F80968"/>
    <w:rsid w:val="00F80E4E"/>
    <w:rsid w:val="00F819FE"/>
    <w:rsid w:val="00F81B33"/>
    <w:rsid w:val="00F81BAA"/>
    <w:rsid w:val="00F81BF8"/>
    <w:rsid w:val="00F81DC8"/>
    <w:rsid w:val="00F830E6"/>
    <w:rsid w:val="00F83C60"/>
    <w:rsid w:val="00F84333"/>
    <w:rsid w:val="00F843E9"/>
    <w:rsid w:val="00F84C3D"/>
    <w:rsid w:val="00F850EA"/>
    <w:rsid w:val="00F85911"/>
    <w:rsid w:val="00F861EC"/>
    <w:rsid w:val="00F867E2"/>
    <w:rsid w:val="00F8680F"/>
    <w:rsid w:val="00F9021D"/>
    <w:rsid w:val="00F9040D"/>
    <w:rsid w:val="00F90947"/>
    <w:rsid w:val="00F91DEC"/>
    <w:rsid w:val="00F9266A"/>
    <w:rsid w:val="00F92916"/>
    <w:rsid w:val="00F92B4B"/>
    <w:rsid w:val="00F9349A"/>
    <w:rsid w:val="00F9373C"/>
    <w:rsid w:val="00F94082"/>
    <w:rsid w:val="00F94123"/>
    <w:rsid w:val="00F942D8"/>
    <w:rsid w:val="00F94A4A"/>
    <w:rsid w:val="00F9518C"/>
    <w:rsid w:val="00F95BBF"/>
    <w:rsid w:val="00F97048"/>
    <w:rsid w:val="00F971BE"/>
    <w:rsid w:val="00F97906"/>
    <w:rsid w:val="00F97E01"/>
    <w:rsid w:val="00F97E77"/>
    <w:rsid w:val="00FA0254"/>
    <w:rsid w:val="00FA0411"/>
    <w:rsid w:val="00FA05C6"/>
    <w:rsid w:val="00FA0664"/>
    <w:rsid w:val="00FA0B70"/>
    <w:rsid w:val="00FA170F"/>
    <w:rsid w:val="00FA1AA6"/>
    <w:rsid w:val="00FA1ACE"/>
    <w:rsid w:val="00FA2138"/>
    <w:rsid w:val="00FA2211"/>
    <w:rsid w:val="00FA26FC"/>
    <w:rsid w:val="00FA2E2C"/>
    <w:rsid w:val="00FA35E0"/>
    <w:rsid w:val="00FA48D7"/>
    <w:rsid w:val="00FA4AC9"/>
    <w:rsid w:val="00FA4E18"/>
    <w:rsid w:val="00FA5D75"/>
    <w:rsid w:val="00FA695C"/>
    <w:rsid w:val="00FA6F3D"/>
    <w:rsid w:val="00FA7AD4"/>
    <w:rsid w:val="00FA7C1F"/>
    <w:rsid w:val="00FA7DDC"/>
    <w:rsid w:val="00FB00A4"/>
    <w:rsid w:val="00FB0D0E"/>
    <w:rsid w:val="00FB12FF"/>
    <w:rsid w:val="00FB2353"/>
    <w:rsid w:val="00FB2492"/>
    <w:rsid w:val="00FB2AB9"/>
    <w:rsid w:val="00FB2DAC"/>
    <w:rsid w:val="00FB36C8"/>
    <w:rsid w:val="00FB376C"/>
    <w:rsid w:val="00FB37B1"/>
    <w:rsid w:val="00FB3E85"/>
    <w:rsid w:val="00FB47ED"/>
    <w:rsid w:val="00FB4948"/>
    <w:rsid w:val="00FB4B69"/>
    <w:rsid w:val="00FB4CC8"/>
    <w:rsid w:val="00FB57F4"/>
    <w:rsid w:val="00FB5E34"/>
    <w:rsid w:val="00FB6141"/>
    <w:rsid w:val="00FB65BD"/>
    <w:rsid w:val="00FB676B"/>
    <w:rsid w:val="00FB6A32"/>
    <w:rsid w:val="00FB6E43"/>
    <w:rsid w:val="00FB72EA"/>
    <w:rsid w:val="00FB7871"/>
    <w:rsid w:val="00FB78B3"/>
    <w:rsid w:val="00FB7911"/>
    <w:rsid w:val="00FB7B86"/>
    <w:rsid w:val="00FC0B00"/>
    <w:rsid w:val="00FC0DFD"/>
    <w:rsid w:val="00FC1362"/>
    <w:rsid w:val="00FC2293"/>
    <w:rsid w:val="00FC259D"/>
    <w:rsid w:val="00FC2E26"/>
    <w:rsid w:val="00FC3E45"/>
    <w:rsid w:val="00FC418B"/>
    <w:rsid w:val="00FC43A7"/>
    <w:rsid w:val="00FC4E21"/>
    <w:rsid w:val="00FC5451"/>
    <w:rsid w:val="00FC5A61"/>
    <w:rsid w:val="00FC6C5E"/>
    <w:rsid w:val="00FC7B89"/>
    <w:rsid w:val="00FC7E4D"/>
    <w:rsid w:val="00FD048C"/>
    <w:rsid w:val="00FD076B"/>
    <w:rsid w:val="00FD0A77"/>
    <w:rsid w:val="00FD1969"/>
    <w:rsid w:val="00FD1A94"/>
    <w:rsid w:val="00FD22F2"/>
    <w:rsid w:val="00FD2BE1"/>
    <w:rsid w:val="00FD36BE"/>
    <w:rsid w:val="00FD371D"/>
    <w:rsid w:val="00FD39CA"/>
    <w:rsid w:val="00FD3C44"/>
    <w:rsid w:val="00FD4345"/>
    <w:rsid w:val="00FD455C"/>
    <w:rsid w:val="00FD4CD2"/>
    <w:rsid w:val="00FD4E8E"/>
    <w:rsid w:val="00FD53BF"/>
    <w:rsid w:val="00FD5428"/>
    <w:rsid w:val="00FD5581"/>
    <w:rsid w:val="00FD62ED"/>
    <w:rsid w:val="00FD65A6"/>
    <w:rsid w:val="00FD6AC5"/>
    <w:rsid w:val="00FD6BEF"/>
    <w:rsid w:val="00FD7A02"/>
    <w:rsid w:val="00FD7BD5"/>
    <w:rsid w:val="00FD7CB5"/>
    <w:rsid w:val="00FD7F64"/>
    <w:rsid w:val="00FD7FE6"/>
    <w:rsid w:val="00FE0054"/>
    <w:rsid w:val="00FE08AB"/>
    <w:rsid w:val="00FE1596"/>
    <w:rsid w:val="00FE16B4"/>
    <w:rsid w:val="00FE1D32"/>
    <w:rsid w:val="00FE1E94"/>
    <w:rsid w:val="00FE2542"/>
    <w:rsid w:val="00FE25BB"/>
    <w:rsid w:val="00FE2A97"/>
    <w:rsid w:val="00FE2DDF"/>
    <w:rsid w:val="00FE2F85"/>
    <w:rsid w:val="00FE35BA"/>
    <w:rsid w:val="00FE46AB"/>
    <w:rsid w:val="00FE47EF"/>
    <w:rsid w:val="00FE5265"/>
    <w:rsid w:val="00FE580D"/>
    <w:rsid w:val="00FE6224"/>
    <w:rsid w:val="00FE6869"/>
    <w:rsid w:val="00FE7CAD"/>
    <w:rsid w:val="00FF13AA"/>
    <w:rsid w:val="00FF14A5"/>
    <w:rsid w:val="00FF1670"/>
    <w:rsid w:val="00FF249F"/>
    <w:rsid w:val="00FF28F1"/>
    <w:rsid w:val="00FF2ED7"/>
    <w:rsid w:val="00FF3083"/>
    <w:rsid w:val="00FF32A2"/>
    <w:rsid w:val="00FF3C1C"/>
    <w:rsid w:val="00FF3C40"/>
    <w:rsid w:val="00FF480E"/>
    <w:rsid w:val="00FF4F48"/>
    <w:rsid w:val="00FF5057"/>
    <w:rsid w:val="00FF526F"/>
    <w:rsid w:val="00FF550E"/>
    <w:rsid w:val="00FF566C"/>
    <w:rsid w:val="00FF5861"/>
    <w:rsid w:val="00FF65C7"/>
    <w:rsid w:val="00FF68B1"/>
    <w:rsid w:val="00FF6A11"/>
    <w:rsid w:val="00FF6C62"/>
    <w:rsid w:val="00FF7755"/>
    <w:rsid w:val="00FF78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1CFE"/>
  <w15:docId w15:val="{768F6283-0637-416B-8FC5-4B2B635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51284"/>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51284"/>
    <w:rPr>
      <w:rFonts w:ascii="Times New Roman" w:hAnsi="Times New Roman" w:cs="Times New Roman"/>
      <w:sz w:val="18"/>
      <w:szCs w:val="18"/>
    </w:rPr>
  </w:style>
  <w:style w:type="paragraph" w:styleId="Pr-formataoHTML">
    <w:name w:val="HTML Preformatted"/>
    <w:basedOn w:val="Normal"/>
    <w:link w:val="Pr-formataoHTMLChar"/>
    <w:uiPriority w:val="99"/>
    <w:semiHidden/>
    <w:unhideWhenUsed/>
    <w:rsid w:val="00237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37653"/>
    <w:rPr>
      <w:rFonts w:ascii="Courier New" w:eastAsia="Times New Roman" w:hAnsi="Courier New" w:cs="Courier New"/>
      <w:sz w:val="20"/>
      <w:szCs w:val="20"/>
      <w:lang w:eastAsia="pt-BR"/>
    </w:rPr>
  </w:style>
  <w:style w:type="character" w:styleId="Hyperlink">
    <w:name w:val="Hyperlink"/>
    <w:basedOn w:val="Fontepargpadro"/>
    <w:uiPriority w:val="99"/>
    <w:semiHidden/>
    <w:unhideWhenUsed/>
    <w:rsid w:val="00237653"/>
    <w:rPr>
      <w:color w:val="0000FF"/>
      <w:u w:val="single"/>
    </w:rPr>
  </w:style>
  <w:style w:type="paragraph" w:styleId="PargrafodaLista">
    <w:name w:val="List Paragraph"/>
    <w:basedOn w:val="Normal"/>
    <w:uiPriority w:val="34"/>
    <w:qFormat/>
    <w:rsid w:val="005F4C01"/>
    <w:pPr>
      <w:ind w:left="720"/>
      <w:contextualSpacing/>
    </w:pPr>
  </w:style>
  <w:style w:type="paragraph" w:styleId="Textodenotaderodap">
    <w:name w:val="footnote text"/>
    <w:basedOn w:val="Normal"/>
    <w:link w:val="TextodenotaderodapChar"/>
    <w:uiPriority w:val="99"/>
    <w:unhideWhenUsed/>
    <w:rsid w:val="003D0E5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D0E5F"/>
    <w:rPr>
      <w:sz w:val="20"/>
      <w:szCs w:val="20"/>
    </w:rPr>
  </w:style>
  <w:style w:type="character" w:styleId="Refdenotaderodap">
    <w:name w:val="footnote reference"/>
    <w:basedOn w:val="Fontepargpadro"/>
    <w:uiPriority w:val="99"/>
    <w:unhideWhenUsed/>
    <w:rsid w:val="003D0E5F"/>
    <w:rPr>
      <w:vertAlign w:val="superscript"/>
    </w:rPr>
  </w:style>
  <w:style w:type="paragraph" w:styleId="Corpodetexto">
    <w:name w:val="Body Text"/>
    <w:basedOn w:val="Normal"/>
    <w:link w:val="CorpodetextoChar"/>
    <w:rsid w:val="00AF5DFE"/>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AF5DFE"/>
    <w:rPr>
      <w:rFonts w:ascii="Times New Roman" w:eastAsia="Times New Roman" w:hAnsi="Times New Roman" w:cs="Times New Roman"/>
      <w:sz w:val="20"/>
      <w:szCs w:val="20"/>
      <w:lang w:eastAsia="pt-BR"/>
    </w:rPr>
  </w:style>
  <w:style w:type="paragraph" w:styleId="Legenda">
    <w:name w:val="caption"/>
    <w:basedOn w:val="Normal"/>
    <w:next w:val="Normal"/>
    <w:uiPriority w:val="35"/>
    <w:unhideWhenUsed/>
    <w:qFormat/>
    <w:rsid w:val="006C36F0"/>
    <w:pPr>
      <w:spacing w:line="240" w:lineRule="auto"/>
    </w:pPr>
    <w:rPr>
      <w:i/>
      <w:iCs/>
      <w:color w:val="1F497D" w:themeColor="text2"/>
      <w:sz w:val="18"/>
      <w:szCs w:val="18"/>
      <w:lang w:val="en-US"/>
    </w:rPr>
  </w:style>
  <w:style w:type="paragraph" w:styleId="Commarcadores">
    <w:name w:val="List Bullet"/>
    <w:basedOn w:val="Normal"/>
    <w:uiPriority w:val="99"/>
    <w:unhideWhenUsed/>
    <w:rsid w:val="00D02244"/>
    <w:pPr>
      <w:numPr>
        <w:numId w:val="4"/>
      </w:numPr>
      <w:contextualSpacing/>
    </w:pPr>
  </w:style>
  <w:style w:type="character" w:styleId="Refdecomentrio">
    <w:name w:val="annotation reference"/>
    <w:basedOn w:val="Fontepargpadro"/>
    <w:uiPriority w:val="99"/>
    <w:semiHidden/>
    <w:unhideWhenUsed/>
    <w:rsid w:val="00EE1F37"/>
    <w:rPr>
      <w:sz w:val="18"/>
      <w:szCs w:val="18"/>
    </w:rPr>
  </w:style>
  <w:style w:type="paragraph" w:styleId="Textodecomentrio">
    <w:name w:val="annotation text"/>
    <w:basedOn w:val="Normal"/>
    <w:link w:val="TextodecomentrioChar"/>
    <w:uiPriority w:val="99"/>
    <w:semiHidden/>
    <w:unhideWhenUsed/>
    <w:rsid w:val="00EE1F37"/>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EE1F37"/>
    <w:rPr>
      <w:sz w:val="24"/>
      <w:szCs w:val="24"/>
    </w:rPr>
  </w:style>
  <w:style w:type="paragraph" w:styleId="Assuntodocomentrio">
    <w:name w:val="annotation subject"/>
    <w:basedOn w:val="Textodecomentrio"/>
    <w:next w:val="Textodecomentrio"/>
    <w:link w:val="AssuntodocomentrioChar"/>
    <w:uiPriority w:val="99"/>
    <w:semiHidden/>
    <w:unhideWhenUsed/>
    <w:rsid w:val="00EE1F37"/>
    <w:rPr>
      <w:b/>
      <w:bCs/>
      <w:sz w:val="20"/>
      <w:szCs w:val="20"/>
    </w:rPr>
  </w:style>
  <w:style w:type="character" w:customStyle="1" w:styleId="AssuntodocomentrioChar">
    <w:name w:val="Assunto do comentário Char"/>
    <w:basedOn w:val="TextodecomentrioChar"/>
    <w:link w:val="Assuntodocomentrio"/>
    <w:uiPriority w:val="99"/>
    <w:semiHidden/>
    <w:rsid w:val="00EE1F37"/>
    <w:rPr>
      <w:b/>
      <w:bCs/>
      <w:sz w:val="20"/>
      <w:szCs w:val="20"/>
    </w:rPr>
  </w:style>
  <w:style w:type="paragraph" w:styleId="NormalWeb">
    <w:name w:val="Normal (Web)"/>
    <w:basedOn w:val="Normal"/>
    <w:uiPriority w:val="99"/>
    <w:semiHidden/>
    <w:unhideWhenUsed/>
    <w:rsid w:val="00223C95"/>
    <w:pPr>
      <w:spacing w:before="100" w:beforeAutospacing="1" w:after="100" w:afterAutospacing="1" w:line="240" w:lineRule="auto"/>
    </w:pPr>
    <w:rPr>
      <w:rFonts w:ascii="Times New Roman" w:hAnsi="Times New Roman" w:cs="Times New Roman"/>
      <w:sz w:val="24"/>
      <w:szCs w:val="24"/>
      <w:lang w:eastAsia="pt-BR"/>
    </w:rPr>
  </w:style>
  <w:style w:type="paragraph" w:styleId="MapadoDocumento">
    <w:name w:val="Document Map"/>
    <w:basedOn w:val="Normal"/>
    <w:link w:val="MapadoDocumentoChar"/>
    <w:uiPriority w:val="99"/>
    <w:semiHidden/>
    <w:unhideWhenUsed/>
    <w:rsid w:val="001F5B58"/>
    <w:pPr>
      <w:spacing w:after="0" w:line="240" w:lineRule="auto"/>
    </w:pPr>
    <w:rPr>
      <w:rFonts w:ascii="Times New Roman" w:hAnsi="Times New Roman" w:cs="Times New Roman"/>
      <w:sz w:val="24"/>
      <w:szCs w:val="24"/>
    </w:rPr>
  </w:style>
  <w:style w:type="character" w:customStyle="1" w:styleId="MapadoDocumentoChar">
    <w:name w:val="Mapa do Documento Char"/>
    <w:basedOn w:val="Fontepargpadro"/>
    <w:link w:val="MapadoDocumento"/>
    <w:uiPriority w:val="99"/>
    <w:semiHidden/>
    <w:rsid w:val="001F5B58"/>
    <w:rPr>
      <w:rFonts w:ascii="Times New Roman" w:hAnsi="Times New Roman" w:cs="Times New Roman"/>
      <w:sz w:val="24"/>
      <w:szCs w:val="24"/>
    </w:rPr>
  </w:style>
  <w:style w:type="paragraph" w:styleId="Reviso">
    <w:name w:val="Revision"/>
    <w:hidden/>
    <w:uiPriority w:val="99"/>
    <w:semiHidden/>
    <w:rsid w:val="00E44221"/>
    <w:pPr>
      <w:spacing w:after="0" w:line="240" w:lineRule="auto"/>
    </w:pPr>
  </w:style>
  <w:style w:type="paragraph" w:styleId="Cabealho">
    <w:name w:val="header"/>
    <w:basedOn w:val="Normal"/>
    <w:link w:val="CabealhoChar"/>
    <w:uiPriority w:val="99"/>
    <w:unhideWhenUsed/>
    <w:rsid w:val="00201E86"/>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01E86"/>
  </w:style>
  <w:style w:type="paragraph" w:styleId="Rodap">
    <w:name w:val="footer"/>
    <w:basedOn w:val="Normal"/>
    <w:link w:val="RodapChar"/>
    <w:uiPriority w:val="99"/>
    <w:unhideWhenUsed/>
    <w:rsid w:val="00201E86"/>
    <w:pPr>
      <w:tabs>
        <w:tab w:val="center" w:pos="4419"/>
        <w:tab w:val="right" w:pos="8838"/>
      </w:tabs>
      <w:spacing w:after="0" w:line="240" w:lineRule="auto"/>
    </w:pPr>
  </w:style>
  <w:style w:type="character" w:customStyle="1" w:styleId="RodapChar">
    <w:name w:val="Rodapé Char"/>
    <w:basedOn w:val="Fontepargpadro"/>
    <w:link w:val="Rodap"/>
    <w:uiPriority w:val="99"/>
    <w:rsid w:val="00201E86"/>
  </w:style>
  <w:style w:type="character" w:styleId="Nmerodepgina">
    <w:name w:val="page number"/>
    <w:basedOn w:val="Fontepargpadro"/>
    <w:uiPriority w:val="99"/>
    <w:semiHidden/>
    <w:unhideWhenUsed/>
    <w:rsid w:val="009D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288">
      <w:bodyDiv w:val="1"/>
      <w:marLeft w:val="0"/>
      <w:marRight w:val="0"/>
      <w:marTop w:val="0"/>
      <w:marBottom w:val="0"/>
      <w:divBdr>
        <w:top w:val="none" w:sz="0" w:space="0" w:color="auto"/>
        <w:left w:val="none" w:sz="0" w:space="0" w:color="auto"/>
        <w:bottom w:val="none" w:sz="0" w:space="0" w:color="auto"/>
        <w:right w:val="none" w:sz="0" w:space="0" w:color="auto"/>
      </w:divBdr>
    </w:div>
    <w:div w:id="63140554">
      <w:bodyDiv w:val="1"/>
      <w:marLeft w:val="0"/>
      <w:marRight w:val="0"/>
      <w:marTop w:val="0"/>
      <w:marBottom w:val="0"/>
      <w:divBdr>
        <w:top w:val="none" w:sz="0" w:space="0" w:color="auto"/>
        <w:left w:val="none" w:sz="0" w:space="0" w:color="auto"/>
        <w:bottom w:val="none" w:sz="0" w:space="0" w:color="auto"/>
        <w:right w:val="none" w:sz="0" w:space="0" w:color="auto"/>
      </w:divBdr>
      <w:divsChild>
        <w:div w:id="2043747385">
          <w:marLeft w:val="0"/>
          <w:marRight w:val="0"/>
          <w:marTop w:val="0"/>
          <w:marBottom w:val="0"/>
          <w:divBdr>
            <w:top w:val="none" w:sz="0" w:space="0" w:color="auto"/>
            <w:left w:val="none" w:sz="0" w:space="0" w:color="auto"/>
            <w:bottom w:val="none" w:sz="0" w:space="0" w:color="auto"/>
            <w:right w:val="none" w:sz="0" w:space="0" w:color="auto"/>
          </w:divBdr>
        </w:div>
        <w:div w:id="1449007359">
          <w:marLeft w:val="0"/>
          <w:marRight w:val="0"/>
          <w:marTop w:val="0"/>
          <w:marBottom w:val="0"/>
          <w:divBdr>
            <w:top w:val="none" w:sz="0" w:space="0" w:color="auto"/>
            <w:left w:val="none" w:sz="0" w:space="0" w:color="auto"/>
            <w:bottom w:val="none" w:sz="0" w:space="0" w:color="auto"/>
            <w:right w:val="none" w:sz="0" w:space="0" w:color="auto"/>
          </w:divBdr>
        </w:div>
        <w:div w:id="2025473650">
          <w:marLeft w:val="0"/>
          <w:marRight w:val="0"/>
          <w:marTop w:val="0"/>
          <w:marBottom w:val="0"/>
          <w:divBdr>
            <w:top w:val="none" w:sz="0" w:space="0" w:color="auto"/>
            <w:left w:val="none" w:sz="0" w:space="0" w:color="auto"/>
            <w:bottom w:val="none" w:sz="0" w:space="0" w:color="auto"/>
            <w:right w:val="none" w:sz="0" w:space="0" w:color="auto"/>
          </w:divBdr>
        </w:div>
        <w:div w:id="384261933">
          <w:marLeft w:val="0"/>
          <w:marRight w:val="0"/>
          <w:marTop w:val="0"/>
          <w:marBottom w:val="0"/>
          <w:divBdr>
            <w:top w:val="none" w:sz="0" w:space="0" w:color="auto"/>
            <w:left w:val="none" w:sz="0" w:space="0" w:color="auto"/>
            <w:bottom w:val="none" w:sz="0" w:space="0" w:color="auto"/>
            <w:right w:val="none" w:sz="0" w:space="0" w:color="auto"/>
          </w:divBdr>
        </w:div>
        <w:div w:id="1763062348">
          <w:marLeft w:val="0"/>
          <w:marRight w:val="0"/>
          <w:marTop w:val="0"/>
          <w:marBottom w:val="0"/>
          <w:divBdr>
            <w:top w:val="none" w:sz="0" w:space="0" w:color="auto"/>
            <w:left w:val="none" w:sz="0" w:space="0" w:color="auto"/>
            <w:bottom w:val="none" w:sz="0" w:space="0" w:color="auto"/>
            <w:right w:val="none" w:sz="0" w:space="0" w:color="auto"/>
          </w:divBdr>
        </w:div>
        <w:div w:id="430516593">
          <w:marLeft w:val="0"/>
          <w:marRight w:val="0"/>
          <w:marTop w:val="0"/>
          <w:marBottom w:val="0"/>
          <w:divBdr>
            <w:top w:val="none" w:sz="0" w:space="0" w:color="auto"/>
            <w:left w:val="none" w:sz="0" w:space="0" w:color="auto"/>
            <w:bottom w:val="none" w:sz="0" w:space="0" w:color="auto"/>
            <w:right w:val="none" w:sz="0" w:space="0" w:color="auto"/>
          </w:divBdr>
        </w:div>
        <w:div w:id="2008943659">
          <w:marLeft w:val="0"/>
          <w:marRight w:val="0"/>
          <w:marTop w:val="0"/>
          <w:marBottom w:val="0"/>
          <w:divBdr>
            <w:top w:val="none" w:sz="0" w:space="0" w:color="auto"/>
            <w:left w:val="none" w:sz="0" w:space="0" w:color="auto"/>
            <w:bottom w:val="none" w:sz="0" w:space="0" w:color="auto"/>
            <w:right w:val="none" w:sz="0" w:space="0" w:color="auto"/>
          </w:divBdr>
        </w:div>
        <w:div w:id="1249313635">
          <w:marLeft w:val="0"/>
          <w:marRight w:val="0"/>
          <w:marTop w:val="0"/>
          <w:marBottom w:val="0"/>
          <w:divBdr>
            <w:top w:val="none" w:sz="0" w:space="0" w:color="auto"/>
            <w:left w:val="none" w:sz="0" w:space="0" w:color="auto"/>
            <w:bottom w:val="none" w:sz="0" w:space="0" w:color="auto"/>
            <w:right w:val="none" w:sz="0" w:space="0" w:color="auto"/>
          </w:divBdr>
        </w:div>
        <w:div w:id="1976448796">
          <w:marLeft w:val="0"/>
          <w:marRight w:val="0"/>
          <w:marTop w:val="0"/>
          <w:marBottom w:val="0"/>
          <w:divBdr>
            <w:top w:val="none" w:sz="0" w:space="0" w:color="auto"/>
            <w:left w:val="none" w:sz="0" w:space="0" w:color="auto"/>
            <w:bottom w:val="none" w:sz="0" w:space="0" w:color="auto"/>
            <w:right w:val="none" w:sz="0" w:space="0" w:color="auto"/>
          </w:divBdr>
        </w:div>
        <w:div w:id="1368407758">
          <w:marLeft w:val="0"/>
          <w:marRight w:val="0"/>
          <w:marTop w:val="0"/>
          <w:marBottom w:val="0"/>
          <w:divBdr>
            <w:top w:val="none" w:sz="0" w:space="0" w:color="auto"/>
            <w:left w:val="none" w:sz="0" w:space="0" w:color="auto"/>
            <w:bottom w:val="none" w:sz="0" w:space="0" w:color="auto"/>
            <w:right w:val="none" w:sz="0" w:space="0" w:color="auto"/>
          </w:divBdr>
        </w:div>
        <w:div w:id="1957979182">
          <w:marLeft w:val="0"/>
          <w:marRight w:val="0"/>
          <w:marTop w:val="0"/>
          <w:marBottom w:val="0"/>
          <w:divBdr>
            <w:top w:val="none" w:sz="0" w:space="0" w:color="auto"/>
            <w:left w:val="none" w:sz="0" w:space="0" w:color="auto"/>
            <w:bottom w:val="none" w:sz="0" w:space="0" w:color="auto"/>
            <w:right w:val="none" w:sz="0" w:space="0" w:color="auto"/>
          </w:divBdr>
        </w:div>
        <w:div w:id="1675297300">
          <w:marLeft w:val="0"/>
          <w:marRight w:val="0"/>
          <w:marTop w:val="0"/>
          <w:marBottom w:val="0"/>
          <w:divBdr>
            <w:top w:val="none" w:sz="0" w:space="0" w:color="auto"/>
            <w:left w:val="none" w:sz="0" w:space="0" w:color="auto"/>
            <w:bottom w:val="none" w:sz="0" w:space="0" w:color="auto"/>
            <w:right w:val="none" w:sz="0" w:space="0" w:color="auto"/>
          </w:divBdr>
        </w:div>
        <w:div w:id="862015480">
          <w:marLeft w:val="0"/>
          <w:marRight w:val="0"/>
          <w:marTop w:val="0"/>
          <w:marBottom w:val="0"/>
          <w:divBdr>
            <w:top w:val="none" w:sz="0" w:space="0" w:color="auto"/>
            <w:left w:val="none" w:sz="0" w:space="0" w:color="auto"/>
            <w:bottom w:val="none" w:sz="0" w:space="0" w:color="auto"/>
            <w:right w:val="none" w:sz="0" w:space="0" w:color="auto"/>
          </w:divBdr>
        </w:div>
        <w:div w:id="64571480">
          <w:marLeft w:val="0"/>
          <w:marRight w:val="0"/>
          <w:marTop w:val="0"/>
          <w:marBottom w:val="0"/>
          <w:divBdr>
            <w:top w:val="none" w:sz="0" w:space="0" w:color="auto"/>
            <w:left w:val="none" w:sz="0" w:space="0" w:color="auto"/>
            <w:bottom w:val="none" w:sz="0" w:space="0" w:color="auto"/>
            <w:right w:val="none" w:sz="0" w:space="0" w:color="auto"/>
          </w:divBdr>
        </w:div>
        <w:div w:id="1846237465">
          <w:marLeft w:val="0"/>
          <w:marRight w:val="0"/>
          <w:marTop w:val="0"/>
          <w:marBottom w:val="0"/>
          <w:divBdr>
            <w:top w:val="none" w:sz="0" w:space="0" w:color="auto"/>
            <w:left w:val="none" w:sz="0" w:space="0" w:color="auto"/>
            <w:bottom w:val="none" w:sz="0" w:space="0" w:color="auto"/>
            <w:right w:val="none" w:sz="0" w:space="0" w:color="auto"/>
          </w:divBdr>
        </w:div>
        <w:div w:id="709578061">
          <w:marLeft w:val="0"/>
          <w:marRight w:val="0"/>
          <w:marTop w:val="0"/>
          <w:marBottom w:val="0"/>
          <w:divBdr>
            <w:top w:val="none" w:sz="0" w:space="0" w:color="auto"/>
            <w:left w:val="none" w:sz="0" w:space="0" w:color="auto"/>
            <w:bottom w:val="none" w:sz="0" w:space="0" w:color="auto"/>
            <w:right w:val="none" w:sz="0" w:space="0" w:color="auto"/>
          </w:divBdr>
        </w:div>
        <w:div w:id="713698288">
          <w:marLeft w:val="0"/>
          <w:marRight w:val="0"/>
          <w:marTop w:val="0"/>
          <w:marBottom w:val="0"/>
          <w:divBdr>
            <w:top w:val="none" w:sz="0" w:space="0" w:color="auto"/>
            <w:left w:val="none" w:sz="0" w:space="0" w:color="auto"/>
            <w:bottom w:val="none" w:sz="0" w:space="0" w:color="auto"/>
            <w:right w:val="none" w:sz="0" w:space="0" w:color="auto"/>
          </w:divBdr>
        </w:div>
        <w:div w:id="1019307598">
          <w:marLeft w:val="0"/>
          <w:marRight w:val="0"/>
          <w:marTop w:val="0"/>
          <w:marBottom w:val="0"/>
          <w:divBdr>
            <w:top w:val="none" w:sz="0" w:space="0" w:color="auto"/>
            <w:left w:val="none" w:sz="0" w:space="0" w:color="auto"/>
            <w:bottom w:val="none" w:sz="0" w:space="0" w:color="auto"/>
            <w:right w:val="none" w:sz="0" w:space="0" w:color="auto"/>
          </w:divBdr>
        </w:div>
        <w:div w:id="1832670969">
          <w:marLeft w:val="0"/>
          <w:marRight w:val="0"/>
          <w:marTop w:val="0"/>
          <w:marBottom w:val="0"/>
          <w:divBdr>
            <w:top w:val="none" w:sz="0" w:space="0" w:color="auto"/>
            <w:left w:val="none" w:sz="0" w:space="0" w:color="auto"/>
            <w:bottom w:val="none" w:sz="0" w:space="0" w:color="auto"/>
            <w:right w:val="none" w:sz="0" w:space="0" w:color="auto"/>
          </w:divBdr>
        </w:div>
        <w:div w:id="638658163">
          <w:marLeft w:val="0"/>
          <w:marRight w:val="0"/>
          <w:marTop w:val="0"/>
          <w:marBottom w:val="0"/>
          <w:divBdr>
            <w:top w:val="none" w:sz="0" w:space="0" w:color="auto"/>
            <w:left w:val="none" w:sz="0" w:space="0" w:color="auto"/>
            <w:bottom w:val="none" w:sz="0" w:space="0" w:color="auto"/>
            <w:right w:val="none" w:sz="0" w:space="0" w:color="auto"/>
          </w:divBdr>
        </w:div>
        <w:div w:id="296223200">
          <w:marLeft w:val="0"/>
          <w:marRight w:val="0"/>
          <w:marTop w:val="0"/>
          <w:marBottom w:val="0"/>
          <w:divBdr>
            <w:top w:val="none" w:sz="0" w:space="0" w:color="auto"/>
            <w:left w:val="none" w:sz="0" w:space="0" w:color="auto"/>
            <w:bottom w:val="none" w:sz="0" w:space="0" w:color="auto"/>
            <w:right w:val="none" w:sz="0" w:space="0" w:color="auto"/>
          </w:divBdr>
        </w:div>
        <w:div w:id="1965966445">
          <w:marLeft w:val="0"/>
          <w:marRight w:val="0"/>
          <w:marTop w:val="0"/>
          <w:marBottom w:val="0"/>
          <w:divBdr>
            <w:top w:val="none" w:sz="0" w:space="0" w:color="auto"/>
            <w:left w:val="none" w:sz="0" w:space="0" w:color="auto"/>
            <w:bottom w:val="none" w:sz="0" w:space="0" w:color="auto"/>
            <w:right w:val="none" w:sz="0" w:space="0" w:color="auto"/>
          </w:divBdr>
        </w:div>
        <w:div w:id="873734781">
          <w:marLeft w:val="0"/>
          <w:marRight w:val="0"/>
          <w:marTop w:val="0"/>
          <w:marBottom w:val="0"/>
          <w:divBdr>
            <w:top w:val="none" w:sz="0" w:space="0" w:color="auto"/>
            <w:left w:val="none" w:sz="0" w:space="0" w:color="auto"/>
            <w:bottom w:val="none" w:sz="0" w:space="0" w:color="auto"/>
            <w:right w:val="none" w:sz="0" w:space="0" w:color="auto"/>
          </w:divBdr>
        </w:div>
        <w:div w:id="526020479">
          <w:marLeft w:val="0"/>
          <w:marRight w:val="0"/>
          <w:marTop w:val="0"/>
          <w:marBottom w:val="0"/>
          <w:divBdr>
            <w:top w:val="none" w:sz="0" w:space="0" w:color="auto"/>
            <w:left w:val="none" w:sz="0" w:space="0" w:color="auto"/>
            <w:bottom w:val="none" w:sz="0" w:space="0" w:color="auto"/>
            <w:right w:val="none" w:sz="0" w:space="0" w:color="auto"/>
          </w:divBdr>
        </w:div>
        <w:div w:id="182060990">
          <w:marLeft w:val="0"/>
          <w:marRight w:val="0"/>
          <w:marTop w:val="0"/>
          <w:marBottom w:val="0"/>
          <w:divBdr>
            <w:top w:val="none" w:sz="0" w:space="0" w:color="auto"/>
            <w:left w:val="none" w:sz="0" w:space="0" w:color="auto"/>
            <w:bottom w:val="none" w:sz="0" w:space="0" w:color="auto"/>
            <w:right w:val="none" w:sz="0" w:space="0" w:color="auto"/>
          </w:divBdr>
        </w:div>
        <w:div w:id="155145853">
          <w:marLeft w:val="0"/>
          <w:marRight w:val="0"/>
          <w:marTop w:val="0"/>
          <w:marBottom w:val="0"/>
          <w:divBdr>
            <w:top w:val="none" w:sz="0" w:space="0" w:color="auto"/>
            <w:left w:val="none" w:sz="0" w:space="0" w:color="auto"/>
            <w:bottom w:val="none" w:sz="0" w:space="0" w:color="auto"/>
            <w:right w:val="none" w:sz="0" w:space="0" w:color="auto"/>
          </w:divBdr>
        </w:div>
        <w:div w:id="407580423">
          <w:marLeft w:val="0"/>
          <w:marRight w:val="0"/>
          <w:marTop w:val="0"/>
          <w:marBottom w:val="0"/>
          <w:divBdr>
            <w:top w:val="none" w:sz="0" w:space="0" w:color="auto"/>
            <w:left w:val="none" w:sz="0" w:space="0" w:color="auto"/>
            <w:bottom w:val="none" w:sz="0" w:space="0" w:color="auto"/>
            <w:right w:val="none" w:sz="0" w:space="0" w:color="auto"/>
          </w:divBdr>
        </w:div>
        <w:div w:id="760294597">
          <w:marLeft w:val="0"/>
          <w:marRight w:val="0"/>
          <w:marTop w:val="0"/>
          <w:marBottom w:val="0"/>
          <w:divBdr>
            <w:top w:val="none" w:sz="0" w:space="0" w:color="auto"/>
            <w:left w:val="none" w:sz="0" w:space="0" w:color="auto"/>
            <w:bottom w:val="none" w:sz="0" w:space="0" w:color="auto"/>
            <w:right w:val="none" w:sz="0" w:space="0" w:color="auto"/>
          </w:divBdr>
        </w:div>
        <w:div w:id="279336187">
          <w:marLeft w:val="0"/>
          <w:marRight w:val="0"/>
          <w:marTop w:val="0"/>
          <w:marBottom w:val="0"/>
          <w:divBdr>
            <w:top w:val="none" w:sz="0" w:space="0" w:color="auto"/>
            <w:left w:val="none" w:sz="0" w:space="0" w:color="auto"/>
            <w:bottom w:val="none" w:sz="0" w:space="0" w:color="auto"/>
            <w:right w:val="none" w:sz="0" w:space="0" w:color="auto"/>
          </w:divBdr>
        </w:div>
        <w:div w:id="852567969">
          <w:marLeft w:val="0"/>
          <w:marRight w:val="0"/>
          <w:marTop w:val="0"/>
          <w:marBottom w:val="0"/>
          <w:divBdr>
            <w:top w:val="none" w:sz="0" w:space="0" w:color="auto"/>
            <w:left w:val="none" w:sz="0" w:space="0" w:color="auto"/>
            <w:bottom w:val="none" w:sz="0" w:space="0" w:color="auto"/>
            <w:right w:val="none" w:sz="0" w:space="0" w:color="auto"/>
          </w:divBdr>
        </w:div>
        <w:div w:id="1793209514">
          <w:marLeft w:val="0"/>
          <w:marRight w:val="0"/>
          <w:marTop w:val="0"/>
          <w:marBottom w:val="0"/>
          <w:divBdr>
            <w:top w:val="none" w:sz="0" w:space="0" w:color="auto"/>
            <w:left w:val="none" w:sz="0" w:space="0" w:color="auto"/>
            <w:bottom w:val="none" w:sz="0" w:space="0" w:color="auto"/>
            <w:right w:val="none" w:sz="0" w:space="0" w:color="auto"/>
          </w:divBdr>
        </w:div>
        <w:div w:id="100422580">
          <w:marLeft w:val="0"/>
          <w:marRight w:val="0"/>
          <w:marTop w:val="0"/>
          <w:marBottom w:val="0"/>
          <w:divBdr>
            <w:top w:val="none" w:sz="0" w:space="0" w:color="auto"/>
            <w:left w:val="none" w:sz="0" w:space="0" w:color="auto"/>
            <w:bottom w:val="none" w:sz="0" w:space="0" w:color="auto"/>
            <w:right w:val="none" w:sz="0" w:space="0" w:color="auto"/>
          </w:divBdr>
        </w:div>
        <w:div w:id="1290821913">
          <w:marLeft w:val="0"/>
          <w:marRight w:val="0"/>
          <w:marTop w:val="0"/>
          <w:marBottom w:val="0"/>
          <w:divBdr>
            <w:top w:val="none" w:sz="0" w:space="0" w:color="auto"/>
            <w:left w:val="none" w:sz="0" w:space="0" w:color="auto"/>
            <w:bottom w:val="none" w:sz="0" w:space="0" w:color="auto"/>
            <w:right w:val="none" w:sz="0" w:space="0" w:color="auto"/>
          </w:divBdr>
        </w:div>
        <w:div w:id="768815047">
          <w:marLeft w:val="0"/>
          <w:marRight w:val="0"/>
          <w:marTop w:val="0"/>
          <w:marBottom w:val="0"/>
          <w:divBdr>
            <w:top w:val="none" w:sz="0" w:space="0" w:color="auto"/>
            <w:left w:val="none" w:sz="0" w:space="0" w:color="auto"/>
            <w:bottom w:val="none" w:sz="0" w:space="0" w:color="auto"/>
            <w:right w:val="none" w:sz="0" w:space="0" w:color="auto"/>
          </w:divBdr>
        </w:div>
        <w:div w:id="1990985244">
          <w:marLeft w:val="0"/>
          <w:marRight w:val="0"/>
          <w:marTop w:val="0"/>
          <w:marBottom w:val="0"/>
          <w:divBdr>
            <w:top w:val="none" w:sz="0" w:space="0" w:color="auto"/>
            <w:left w:val="none" w:sz="0" w:space="0" w:color="auto"/>
            <w:bottom w:val="none" w:sz="0" w:space="0" w:color="auto"/>
            <w:right w:val="none" w:sz="0" w:space="0" w:color="auto"/>
          </w:divBdr>
        </w:div>
        <w:div w:id="1746874425">
          <w:marLeft w:val="0"/>
          <w:marRight w:val="0"/>
          <w:marTop w:val="0"/>
          <w:marBottom w:val="0"/>
          <w:divBdr>
            <w:top w:val="none" w:sz="0" w:space="0" w:color="auto"/>
            <w:left w:val="none" w:sz="0" w:space="0" w:color="auto"/>
            <w:bottom w:val="none" w:sz="0" w:space="0" w:color="auto"/>
            <w:right w:val="none" w:sz="0" w:space="0" w:color="auto"/>
          </w:divBdr>
        </w:div>
        <w:div w:id="322782998">
          <w:marLeft w:val="0"/>
          <w:marRight w:val="0"/>
          <w:marTop w:val="0"/>
          <w:marBottom w:val="0"/>
          <w:divBdr>
            <w:top w:val="none" w:sz="0" w:space="0" w:color="auto"/>
            <w:left w:val="none" w:sz="0" w:space="0" w:color="auto"/>
            <w:bottom w:val="none" w:sz="0" w:space="0" w:color="auto"/>
            <w:right w:val="none" w:sz="0" w:space="0" w:color="auto"/>
          </w:divBdr>
        </w:div>
        <w:div w:id="936595844">
          <w:marLeft w:val="0"/>
          <w:marRight w:val="0"/>
          <w:marTop w:val="0"/>
          <w:marBottom w:val="0"/>
          <w:divBdr>
            <w:top w:val="none" w:sz="0" w:space="0" w:color="auto"/>
            <w:left w:val="none" w:sz="0" w:space="0" w:color="auto"/>
            <w:bottom w:val="none" w:sz="0" w:space="0" w:color="auto"/>
            <w:right w:val="none" w:sz="0" w:space="0" w:color="auto"/>
          </w:divBdr>
        </w:div>
        <w:div w:id="1563250835">
          <w:marLeft w:val="0"/>
          <w:marRight w:val="0"/>
          <w:marTop w:val="0"/>
          <w:marBottom w:val="0"/>
          <w:divBdr>
            <w:top w:val="none" w:sz="0" w:space="0" w:color="auto"/>
            <w:left w:val="none" w:sz="0" w:space="0" w:color="auto"/>
            <w:bottom w:val="none" w:sz="0" w:space="0" w:color="auto"/>
            <w:right w:val="none" w:sz="0" w:space="0" w:color="auto"/>
          </w:divBdr>
        </w:div>
        <w:div w:id="672148958">
          <w:marLeft w:val="0"/>
          <w:marRight w:val="0"/>
          <w:marTop w:val="0"/>
          <w:marBottom w:val="0"/>
          <w:divBdr>
            <w:top w:val="none" w:sz="0" w:space="0" w:color="auto"/>
            <w:left w:val="none" w:sz="0" w:space="0" w:color="auto"/>
            <w:bottom w:val="none" w:sz="0" w:space="0" w:color="auto"/>
            <w:right w:val="none" w:sz="0" w:space="0" w:color="auto"/>
          </w:divBdr>
        </w:div>
        <w:div w:id="1012757102">
          <w:marLeft w:val="0"/>
          <w:marRight w:val="0"/>
          <w:marTop w:val="0"/>
          <w:marBottom w:val="0"/>
          <w:divBdr>
            <w:top w:val="none" w:sz="0" w:space="0" w:color="auto"/>
            <w:left w:val="none" w:sz="0" w:space="0" w:color="auto"/>
            <w:bottom w:val="none" w:sz="0" w:space="0" w:color="auto"/>
            <w:right w:val="none" w:sz="0" w:space="0" w:color="auto"/>
          </w:divBdr>
        </w:div>
        <w:div w:id="105658599">
          <w:marLeft w:val="0"/>
          <w:marRight w:val="0"/>
          <w:marTop w:val="0"/>
          <w:marBottom w:val="0"/>
          <w:divBdr>
            <w:top w:val="none" w:sz="0" w:space="0" w:color="auto"/>
            <w:left w:val="none" w:sz="0" w:space="0" w:color="auto"/>
            <w:bottom w:val="none" w:sz="0" w:space="0" w:color="auto"/>
            <w:right w:val="none" w:sz="0" w:space="0" w:color="auto"/>
          </w:divBdr>
        </w:div>
        <w:div w:id="471754302">
          <w:marLeft w:val="0"/>
          <w:marRight w:val="0"/>
          <w:marTop w:val="0"/>
          <w:marBottom w:val="0"/>
          <w:divBdr>
            <w:top w:val="none" w:sz="0" w:space="0" w:color="auto"/>
            <w:left w:val="none" w:sz="0" w:space="0" w:color="auto"/>
            <w:bottom w:val="none" w:sz="0" w:space="0" w:color="auto"/>
            <w:right w:val="none" w:sz="0" w:space="0" w:color="auto"/>
          </w:divBdr>
        </w:div>
        <w:div w:id="302731850">
          <w:marLeft w:val="0"/>
          <w:marRight w:val="0"/>
          <w:marTop w:val="0"/>
          <w:marBottom w:val="0"/>
          <w:divBdr>
            <w:top w:val="none" w:sz="0" w:space="0" w:color="auto"/>
            <w:left w:val="none" w:sz="0" w:space="0" w:color="auto"/>
            <w:bottom w:val="none" w:sz="0" w:space="0" w:color="auto"/>
            <w:right w:val="none" w:sz="0" w:space="0" w:color="auto"/>
          </w:divBdr>
        </w:div>
        <w:div w:id="2013946949">
          <w:marLeft w:val="0"/>
          <w:marRight w:val="0"/>
          <w:marTop w:val="0"/>
          <w:marBottom w:val="0"/>
          <w:divBdr>
            <w:top w:val="none" w:sz="0" w:space="0" w:color="auto"/>
            <w:left w:val="none" w:sz="0" w:space="0" w:color="auto"/>
            <w:bottom w:val="none" w:sz="0" w:space="0" w:color="auto"/>
            <w:right w:val="none" w:sz="0" w:space="0" w:color="auto"/>
          </w:divBdr>
        </w:div>
        <w:div w:id="1384988812">
          <w:marLeft w:val="0"/>
          <w:marRight w:val="0"/>
          <w:marTop w:val="0"/>
          <w:marBottom w:val="0"/>
          <w:divBdr>
            <w:top w:val="none" w:sz="0" w:space="0" w:color="auto"/>
            <w:left w:val="none" w:sz="0" w:space="0" w:color="auto"/>
            <w:bottom w:val="none" w:sz="0" w:space="0" w:color="auto"/>
            <w:right w:val="none" w:sz="0" w:space="0" w:color="auto"/>
          </w:divBdr>
        </w:div>
        <w:div w:id="1375689744">
          <w:marLeft w:val="0"/>
          <w:marRight w:val="0"/>
          <w:marTop w:val="0"/>
          <w:marBottom w:val="0"/>
          <w:divBdr>
            <w:top w:val="none" w:sz="0" w:space="0" w:color="auto"/>
            <w:left w:val="none" w:sz="0" w:space="0" w:color="auto"/>
            <w:bottom w:val="none" w:sz="0" w:space="0" w:color="auto"/>
            <w:right w:val="none" w:sz="0" w:space="0" w:color="auto"/>
          </w:divBdr>
        </w:div>
        <w:div w:id="1979845740">
          <w:marLeft w:val="0"/>
          <w:marRight w:val="0"/>
          <w:marTop w:val="0"/>
          <w:marBottom w:val="0"/>
          <w:divBdr>
            <w:top w:val="none" w:sz="0" w:space="0" w:color="auto"/>
            <w:left w:val="none" w:sz="0" w:space="0" w:color="auto"/>
            <w:bottom w:val="none" w:sz="0" w:space="0" w:color="auto"/>
            <w:right w:val="none" w:sz="0" w:space="0" w:color="auto"/>
          </w:divBdr>
        </w:div>
        <w:div w:id="82144828">
          <w:marLeft w:val="0"/>
          <w:marRight w:val="0"/>
          <w:marTop w:val="0"/>
          <w:marBottom w:val="0"/>
          <w:divBdr>
            <w:top w:val="none" w:sz="0" w:space="0" w:color="auto"/>
            <w:left w:val="none" w:sz="0" w:space="0" w:color="auto"/>
            <w:bottom w:val="none" w:sz="0" w:space="0" w:color="auto"/>
            <w:right w:val="none" w:sz="0" w:space="0" w:color="auto"/>
          </w:divBdr>
        </w:div>
        <w:div w:id="758326855">
          <w:marLeft w:val="0"/>
          <w:marRight w:val="0"/>
          <w:marTop w:val="0"/>
          <w:marBottom w:val="0"/>
          <w:divBdr>
            <w:top w:val="none" w:sz="0" w:space="0" w:color="auto"/>
            <w:left w:val="none" w:sz="0" w:space="0" w:color="auto"/>
            <w:bottom w:val="none" w:sz="0" w:space="0" w:color="auto"/>
            <w:right w:val="none" w:sz="0" w:space="0" w:color="auto"/>
          </w:divBdr>
        </w:div>
      </w:divsChild>
    </w:div>
    <w:div w:id="319116117">
      <w:bodyDiv w:val="1"/>
      <w:marLeft w:val="0"/>
      <w:marRight w:val="0"/>
      <w:marTop w:val="0"/>
      <w:marBottom w:val="0"/>
      <w:divBdr>
        <w:top w:val="none" w:sz="0" w:space="0" w:color="auto"/>
        <w:left w:val="none" w:sz="0" w:space="0" w:color="auto"/>
        <w:bottom w:val="none" w:sz="0" w:space="0" w:color="auto"/>
        <w:right w:val="none" w:sz="0" w:space="0" w:color="auto"/>
      </w:divBdr>
      <w:divsChild>
        <w:div w:id="719667038">
          <w:marLeft w:val="0"/>
          <w:marRight w:val="0"/>
          <w:marTop w:val="0"/>
          <w:marBottom w:val="0"/>
          <w:divBdr>
            <w:top w:val="none" w:sz="0" w:space="0" w:color="auto"/>
            <w:left w:val="none" w:sz="0" w:space="0" w:color="auto"/>
            <w:bottom w:val="none" w:sz="0" w:space="0" w:color="auto"/>
            <w:right w:val="none" w:sz="0" w:space="0" w:color="auto"/>
          </w:divBdr>
        </w:div>
        <w:div w:id="235558682">
          <w:marLeft w:val="0"/>
          <w:marRight w:val="0"/>
          <w:marTop w:val="0"/>
          <w:marBottom w:val="0"/>
          <w:divBdr>
            <w:top w:val="none" w:sz="0" w:space="0" w:color="auto"/>
            <w:left w:val="none" w:sz="0" w:space="0" w:color="auto"/>
            <w:bottom w:val="none" w:sz="0" w:space="0" w:color="auto"/>
            <w:right w:val="none" w:sz="0" w:space="0" w:color="auto"/>
          </w:divBdr>
        </w:div>
      </w:divsChild>
    </w:div>
    <w:div w:id="498883338">
      <w:bodyDiv w:val="1"/>
      <w:marLeft w:val="0"/>
      <w:marRight w:val="0"/>
      <w:marTop w:val="0"/>
      <w:marBottom w:val="0"/>
      <w:divBdr>
        <w:top w:val="none" w:sz="0" w:space="0" w:color="auto"/>
        <w:left w:val="none" w:sz="0" w:space="0" w:color="auto"/>
        <w:bottom w:val="none" w:sz="0" w:space="0" w:color="auto"/>
        <w:right w:val="none" w:sz="0" w:space="0" w:color="auto"/>
      </w:divBdr>
      <w:divsChild>
        <w:div w:id="467628340">
          <w:marLeft w:val="0"/>
          <w:marRight w:val="0"/>
          <w:marTop w:val="0"/>
          <w:marBottom w:val="0"/>
          <w:divBdr>
            <w:top w:val="none" w:sz="0" w:space="0" w:color="auto"/>
            <w:left w:val="none" w:sz="0" w:space="0" w:color="auto"/>
            <w:bottom w:val="none" w:sz="0" w:space="0" w:color="auto"/>
            <w:right w:val="none" w:sz="0" w:space="0" w:color="auto"/>
          </w:divBdr>
        </w:div>
        <w:div w:id="202637649">
          <w:marLeft w:val="0"/>
          <w:marRight w:val="0"/>
          <w:marTop w:val="0"/>
          <w:marBottom w:val="0"/>
          <w:divBdr>
            <w:top w:val="none" w:sz="0" w:space="0" w:color="auto"/>
            <w:left w:val="none" w:sz="0" w:space="0" w:color="auto"/>
            <w:bottom w:val="none" w:sz="0" w:space="0" w:color="auto"/>
            <w:right w:val="none" w:sz="0" w:space="0" w:color="auto"/>
          </w:divBdr>
        </w:div>
        <w:div w:id="35206351">
          <w:marLeft w:val="0"/>
          <w:marRight w:val="0"/>
          <w:marTop w:val="0"/>
          <w:marBottom w:val="0"/>
          <w:divBdr>
            <w:top w:val="none" w:sz="0" w:space="0" w:color="auto"/>
            <w:left w:val="none" w:sz="0" w:space="0" w:color="auto"/>
            <w:bottom w:val="none" w:sz="0" w:space="0" w:color="auto"/>
            <w:right w:val="none" w:sz="0" w:space="0" w:color="auto"/>
          </w:divBdr>
        </w:div>
        <w:div w:id="109477507">
          <w:marLeft w:val="0"/>
          <w:marRight w:val="0"/>
          <w:marTop w:val="0"/>
          <w:marBottom w:val="0"/>
          <w:divBdr>
            <w:top w:val="none" w:sz="0" w:space="0" w:color="auto"/>
            <w:left w:val="none" w:sz="0" w:space="0" w:color="auto"/>
            <w:bottom w:val="none" w:sz="0" w:space="0" w:color="auto"/>
            <w:right w:val="none" w:sz="0" w:space="0" w:color="auto"/>
          </w:divBdr>
        </w:div>
      </w:divsChild>
    </w:div>
    <w:div w:id="517159704">
      <w:bodyDiv w:val="1"/>
      <w:marLeft w:val="0"/>
      <w:marRight w:val="0"/>
      <w:marTop w:val="0"/>
      <w:marBottom w:val="0"/>
      <w:divBdr>
        <w:top w:val="none" w:sz="0" w:space="0" w:color="auto"/>
        <w:left w:val="none" w:sz="0" w:space="0" w:color="auto"/>
        <w:bottom w:val="none" w:sz="0" w:space="0" w:color="auto"/>
        <w:right w:val="none" w:sz="0" w:space="0" w:color="auto"/>
      </w:divBdr>
    </w:div>
    <w:div w:id="628167285">
      <w:bodyDiv w:val="1"/>
      <w:marLeft w:val="0"/>
      <w:marRight w:val="0"/>
      <w:marTop w:val="0"/>
      <w:marBottom w:val="0"/>
      <w:divBdr>
        <w:top w:val="none" w:sz="0" w:space="0" w:color="auto"/>
        <w:left w:val="none" w:sz="0" w:space="0" w:color="auto"/>
        <w:bottom w:val="none" w:sz="0" w:space="0" w:color="auto"/>
        <w:right w:val="none" w:sz="0" w:space="0" w:color="auto"/>
      </w:divBdr>
      <w:divsChild>
        <w:div w:id="2047942749">
          <w:marLeft w:val="0"/>
          <w:marRight w:val="0"/>
          <w:marTop w:val="0"/>
          <w:marBottom w:val="0"/>
          <w:divBdr>
            <w:top w:val="none" w:sz="0" w:space="0" w:color="auto"/>
            <w:left w:val="none" w:sz="0" w:space="0" w:color="auto"/>
            <w:bottom w:val="none" w:sz="0" w:space="0" w:color="auto"/>
            <w:right w:val="none" w:sz="0" w:space="0" w:color="auto"/>
          </w:divBdr>
          <w:divsChild>
            <w:div w:id="384178973">
              <w:marLeft w:val="0"/>
              <w:marRight w:val="0"/>
              <w:marTop w:val="0"/>
              <w:marBottom w:val="0"/>
              <w:divBdr>
                <w:top w:val="none" w:sz="0" w:space="0" w:color="auto"/>
                <w:left w:val="none" w:sz="0" w:space="0" w:color="auto"/>
                <w:bottom w:val="none" w:sz="0" w:space="0" w:color="auto"/>
                <w:right w:val="none" w:sz="0" w:space="0" w:color="auto"/>
              </w:divBdr>
            </w:div>
            <w:div w:id="1031078625">
              <w:marLeft w:val="0"/>
              <w:marRight w:val="0"/>
              <w:marTop w:val="0"/>
              <w:marBottom w:val="0"/>
              <w:divBdr>
                <w:top w:val="none" w:sz="0" w:space="0" w:color="auto"/>
                <w:left w:val="none" w:sz="0" w:space="0" w:color="auto"/>
                <w:bottom w:val="none" w:sz="0" w:space="0" w:color="auto"/>
                <w:right w:val="none" w:sz="0" w:space="0" w:color="auto"/>
              </w:divBdr>
            </w:div>
            <w:div w:id="2056732268">
              <w:marLeft w:val="0"/>
              <w:marRight w:val="0"/>
              <w:marTop w:val="0"/>
              <w:marBottom w:val="0"/>
              <w:divBdr>
                <w:top w:val="none" w:sz="0" w:space="0" w:color="auto"/>
                <w:left w:val="none" w:sz="0" w:space="0" w:color="auto"/>
                <w:bottom w:val="none" w:sz="0" w:space="0" w:color="auto"/>
                <w:right w:val="none" w:sz="0" w:space="0" w:color="auto"/>
              </w:divBdr>
            </w:div>
            <w:div w:id="1164978103">
              <w:marLeft w:val="0"/>
              <w:marRight w:val="0"/>
              <w:marTop w:val="0"/>
              <w:marBottom w:val="0"/>
              <w:divBdr>
                <w:top w:val="none" w:sz="0" w:space="0" w:color="auto"/>
                <w:left w:val="none" w:sz="0" w:space="0" w:color="auto"/>
                <w:bottom w:val="none" w:sz="0" w:space="0" w:color="auto"/>
                <w:right w:val="none" w:sz="0" w:space="0" w:color="auto"/>
              </w:divBdr>
            </w:div>
            <w:div w:id="627900881">
              <w:marLeft w:val="0"/>
              <w:marRight w:val="0"/>
              <w:marTop w:val="0"/>
              <w:marBottom w:val="0"/>
              <w:divBdr>
                <w:top w:val="none" w:sz="0" w:space="0" w:color="auto"/>
                <w:left w:val="none" w:sz="0" w:space="0" w:color="auto"/>
                <w:bottom w:val="none" w:sz="0" w:space="0" w:color="auto"/>
                <w:right w:val="none" w:sz="0" w:space="0" w:color="auto"/>
              </w:divBdr>
            </w:div>
            <w:div w:id="1163813815">
              <w:marLeft w:val="0"/>
              <w:marRight w:val="0"/>
              <w:marTop w:val="0"/>
              <w:marBottom w:val="0"/>
              <w:divBdr>
                <w:top w:val="none" w:sz="0" w:space="0" w:color="auto"/>
                <w:left w:val="none" w:sz="0" w:space="0" w:color="auto"/>
                <w:bottom w:val="none" w:sz="0" w:space="0" w:color="auto"/>
                <w:right w:val="none" w:sz="0" w:space="0" w:color="auto"/>
              </w:divBdr>
            </w:div>
            <w:div w:id="316039660">
              <w:marLeft w:val="0"/>
              <w:marRight w:val="0"/>
              <w:marTop w:val="0"/>
              <w:marBottom w:val="0"/>
              <w:divBdr>
                <w:top w:val="none" w:sz="0" w:space="0" w:color="auto"/>
                <w:left w:val="none" w:sz="0" w:space="0" w:color="auto"/>
                <w:bottom w:val="none" w:sz="0" w:space="0" w:color="auto"/>
                <w:right w:val="none" w:sz="0" w:space="0" w:color="auto"/>
              </w:divBdr>
            </w:div>
            <w:div w:id="949821763">
              <w:marLeft w:val="0"/>
              <w:marRight w:val="0"/>
              <w:marTop w:val="0"/>
              <w:marBottom w:val="0"/>
              <w:divBdr>
                <w:top w:val="none" w:sz="0" w:space="0" w:color="auto"/>
                <w:left w:val="none" w:sz="0" w:space="0" w:color="auto"/>
                <w:bottom w:val="none" w:sz="0" w:space="0" w:color="auto"/>
                <w:right w:val="none" w:sz="0" w:space="0" w:color="auto"/>
              </w:divBdr>
            </w:div>
            <w:div w:id="6443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2543">
      <w:bodyDiv w:val="1"/>
      <w:marLeft w:val="0"/>
      <w:marRight w:val="0"/>
      <w:marTop w:val="0"/>
      <w:marBottom w:val="0"/>
      <w:divBdr>
        <w:top w:val="none" w:sz="0" w:space="0" w:color="auto"/>
        <w:left w:val="none" w:sz="0" w:space="0" w:color="auto"/>
        <w:bottom w:val="none" w:sz="0" w:space="0" w:color="auto"/>
        <w:right w:val="none" w:sz="0" w:space="0" w:color="auto"/>
      </w:divBdr>
    </w:div>
    <w:div w:id="813331853">
      <w:bodyDiv w:val="1"/>
      <w:marLeft w:val="0"/>
      <w:marRight w:val="0"/>
      <w:marTop w:val="0"/>
      <w:marBottom w:val="0"/>
      <w:divBdr>
        <w:top w:val="none" w:sz="0" w:space="0" w:color="auto"/>
        <w:left w:val="none" w:sz="0" w:space="0" w:color="auto"/>
        <w:bottom w:val="none" w:sz="0" w:space="0" w:color="auto"/>
        <w:right w:val="none" w:sz="0" w:space="0" w:color="auto"/>
      </w:divBdr>
    </w:div>
    <w:div w:id="951016634">
      <w:bodyDiv w:val="1"/>
      <w:marLeft w:val="0"/>
      <w:marRight w:val="0"/>
      <w:marTop w:val="0"/>
      <w:marBottom w:val="0"/>
      <w:divBdr>
        <w:top w:val="none" w:sz="0" w:space="0" w:color="auto"/>
        <w:left w:val="none" w:sz="0" w:space="0" w:color="auto"/>
        <w:bottom w:val="none" w:sz="0" w:space="0" w:color="auto"/>
        <w:right w:val="none" w:sz="0" w:space="0" w:color="auto"/>
      </w:divBdr>
    </w:div>
    <w:div w:id="981082867">
      <w:bodyDiv w:val="1"/>
      <w:marLeft w:val="0"/>
      <w:marRight w:val="0"/>
      <w:marTop w:val="0"/>
      <w:marBottom w:val="0"/>
      <w:divBdr>
        <w:top w:val="none" w:sz="0" w:space="0" w:color="auto"/>
        <w:left w:val="none" w:sz="0" w:space="0" w:color="auto"/>
        <w:bottom w:val="none" w:sz="0" w:space="0" w:color="auto"/>
        <w:right w:val="none" w:sz="0" w:space="0" w:color="auto"/>
      </w:divBdr>
      <w:divsChild>
        <w:div w:id="66729272">
          <w:marLeft w:val="0"/>
          <w:marRight w:val="0"/>
          <w:marTop w:val="0"/>
          <w:marBottom w:val="0"/>
          <w:divBdr>
            <w:top w:val="none" w:sz="0" w:space="0" w:color="auto"/>
            <w:left w:val="none" w:sz="0" w:space="0" w:color="auto"/>
            <w:bottom w:val="none" w:sz="0" w:space="0" w:color="auto"/>
            <w:right w:val="none" w:sz="0" w:space="0" w:color="auto"/>
          </w:divBdr>
        </w:div>
        <w:div w:id="1210650360">
          <w:marLeft w:val="0"/>
          <w:marRight w:val="0"/>
          <w:marTop w:val="0"/>
          <w:marBottom w:val="0"/>
          <w:divBdr>
            <w:top w:val="none" w:sz="0" w:space="0" w:color="auto"/>
            <w:left w:val="none" w:sz="0" w:space="0" w:color="auto"/>
            <w:bottom w:val="none" w:sz="0" w:space="0" w:color="auto"/>
            <w:right w:val="none" w:sz="0" w:space="0" w:color="auto"/>
          </w:divBdr>
        </w:div>
        <w:div w:id="1096949610">
          <w:marLeft w:val="0"/>
          <w:marRight w:val="0"/>
          <w:marTop w:val="0"/>
          <w:marBottom w:val="0"/>
          <w:divBdr>
            <w:top w:val="none" w:sz="0" w:space="0" w:color="auto"/>
            <w:left w:val="none" w:sz="0" w:space="0" w:color="auto"/>
            <w:bottom w:val="none" w:sz="0" w:space="0" w:color="auto"/>
            <w:right w:val="none" w:sz="0" w:space="0" w:color="auto"/>
          </w:divBdr>
        </w:div>
        <w:div w:id="789130111">
          <w:marLeft w:val="0"/>
          <w:marRight w:val="0"/>
          <w:marTop w:val="0"/>
          <w:marBottom w:val="0"/>
          <w:divBdr>
            <w:top w:val="none" w:sz="0" w:space="0" w:color="auto"/>
            <w:left w:val="none" w:sz="0" w:space="0" w:color="auto"/>
            <w:bottom w:val="none" w:sz="0" w:space="0" w:color="auto"/>
            <w:right w:val="none" w:sz="0" w:space="0" w:color="auto"/>
          </w:divBdr>
        </w:div>
        <w:div w:id="1142770779">
          <w:marLeft w:val="0"/>
          <w:marRight w:val="0"/>
          <w:marTop w:val="0"/>
          <w:marBottom w:val="0"/>
          <w:divBdr>
            <w:top w:val="none" w:sz="0" w:space="0" w:color="auto"/>
            <w:left w:val="none" w:sz="0" w:space="0" w:color="auto"/>
            <w:bottom w:val="none" w:sz="0" w:space="0" w:color="auto"/>
            <w:right w:val="none" w:sz="0" w:space="0" w:color="auto"/>
          </w:divBdr>
        </w:div>
        <w:div w:id="1539318875">
          <w:marLeft w:val="0"/>
          <w:marRight w:val="0"/>
          <w:marTop w:val="0"/>
          <w:marBottom w:val="0"/>
          <w:divBdr>
            <w:top w:val="none" w:sz="0" w:space="0" w:color="auto"/>
            <w:left w:val="none" w:sz="0" w:space="0" w:color="auto"/>
            <w:bottom w:val="none" w:sz="0" w:space="0" w:color="auto"/>
            <w:right w:val="none" w:sz="0" w:space="0" w:color="auto"/>
          </w:divBdr>
        </w:div>
        <w:div w:id="1429233581">
          <w:marLeft w:val="0"/>
          <w:marRight w:val="0"/>
          <w:marTop w:val="0"/>
          <w:marBottom w:val="0"/>
          <w:divBdr>
            <w:top w:val="none" w:sz="0" w:space="0" w:color="auto"/>
            <w:left w:val="none" w:sz="0" w:space="0" w:color="auto"/>
            <w:bottom w:val="none" w:sz="0" w:space="0" w:color="auto"/>
            <w:right w:val="none" w:sz="0" w:space="0" w:color="auto"/>
          </w:divBdr>
        </w:div>
        <w:div w:id="35203348">
          <w:marLeft w:val="0"/>
          <w:marRight w:val="0"/>
          <w:marTop w:val="0"/>
          <w:marBottom w:val="0"/>
          <w:divBdr>
            <w:top w:val="none" w:sz="0" w:space="0" w:color="auto"/>
            <w:left w:val="none" w:sz="0" w:space="0" w:color="auto"/>
            <w:bottom w:val="none" w:sz="0" w:space="0" w:color="auto"/>
            <w:right w:val="none" w:sz="0" w:space="0" w:color="auto"/>
          </w:divBdr>
        </w:div>
        <w:div w:id="1870798707">
          <w:marLeft w:val="0"/>
          <w:marRight w:val="0"/>
          <w:marTop w:val="0"/>
          <w:marBottom w:val="0"/>
          <w:divBdr>
            <w:top w:val="none" w:sz="0" w:space="0" w:color="auto"/>
            <w:left w:val="none" w:sz="0" w:space="0" w:color="auto"/>
            <w:bottom w:val="none" w:sz="0" w:space="0" w:color="auto"/>
            <w:right w:val="none" w:sz="0" w:space="0" w:color="auto"/>
          </w:divBdr>
        </w:div>
        <w:div w:id="26956534">
          <w:marLeft w:val="0"/>
          <w:marRight w:val="0"/>
          <w:marTop w:val="0"/>
          <w:marBottom w:val="0"/>
          <w:divBdr>
            <w:top w:val="none" w:sz="0" w:space="0" w:color="auto"/>
            <w:left w:val="none" w:sz="0" w:space="0" w:color="auto"/>
            <w:bottom w:val="none" w:sz="0" w:space="0" w:color="auto"/>
            <w:right w:val="none" w:sz="0" w:space="0" w:color="auto"/>
          </w:divBdr>
        </w:div>
      </w:divsChild>
    </w:div>
    <w:div w:id="987366679">
      <w:bodyDiv w:val="1"/>
      <w:marLeft w:val="0"/>
      <w:marRight w:val="0"/>
      <w:marTop w:val="0"/>
      <w:marBottom w:val="0"/>
      <w:divBdr>
        <w:top w:val="none" w:sz="0" w:space="0" w:color="auto"/>
        <w:left w:val="none" w:sz="0" w:space="0" w:color="auto"/>
        <w:bottom w:val="none" w:sz="0" w:space="0" w:color="auto"/>
        <w:right w:val="none" w:sz="0" w:space="0" w:color="auto"/>
      </w:divBdr>
      <w:divsChild>
        <w:div w:id="1026098832">
          <w:marLeft w:val="547"/>
          <w:marRight w:val="0"/>
          <w:marTop w:val="115"/>
          <w:marBottom w:val="0"/>
          <w:divBdr>
            <w:top w:val="none" w:sz="0" w:space="0" w:color="auto"/>
            <w:left w:val="none" w:sz="0" w:space="0" w:color="auto"/>
            <w:bottom w:val="none" w:sz="0" w:space="0" w:color="auto"/>
            <w:right w:val="none" w:sz="0" w:space="0" w:color="auto"/>
          </w:divBdr>
        </w:div>
      </w:divsChild>
    </w:div>
    <w:div w:id="1050573336">
      <w:bodyDiv w:val="1"/>
      <w:marLeft w:val="0"/>
      <w:marRight w:val="0"/>
      <w:marTop w:val="0"/>
      <w:marBottom w:val="0"/>
      <w:divBdr>
        <w:top w:val="none" w:sz="0" w:space="0" w:color="auto"/>
        <w:left w:val="none" w:sz="0" w:space="0" w:color="auto"/>
        <w:bottom w:val="none" w:sz="0" w:space="0" w:color="auto"/>
        <w:right w:val="none" w:sz="0" w:space="0" w:color="auto"/>
      </w:divBdr>
      <w:divsChild>
        <w:div w:id="1285963880">
          <w:marLeft w:val="0"/>
          <w:marRight w:val="0"/>
          <w:marTop w:val="0"/>
          <w:marBottom w:val="0"/>
          <w:divBdr>
            <w:top w:val="none" w:sz="0" w:space="0" w:color="auto"/>
            <w:left w:val="none" w:sz="0" w:space="0" w:color="auto"/>
            <w:bottom w:val="none" w:sz="0" w:space="0" w:color="auto"/>
            <w:right w:val="none" w:sz="0" w:space="0" w:color="auto"/>
          </w:divBdr>
        </w:div>
        <w:div w:id="2114011728">
          <w:marLeft w:val="0"/>
          <w:marRight w:val="0"/>
          <w:marTop w:val="0"/>
          <w:marBottom w:val="0"/>
          <w:divBdr>
            <w:top w:val="none" w:sz="0" w:space="0" w:color="auto"/>
            <w:left w:val="none" w:sz="0" w:space="0" w:color="auto"/>
            <w:bottom w:val="none" w:sz="0" w:space="0" w:color="auto"/>
            <w:right w:val="none" w:sz="0" w:space="0" w:color="auto"/>
          </w:divBdr>
        </w:div>
        <w:div w:id="2558660">
          <w:marLeft w:val="0"/>
          <w:marRight w:val="0"/>
          <w:marTop w:val="0"/>
          <w:marBottom w:val="0"/>
          <w:divBdr>
            <w:top w:val="none" w:sz="0" w:space="0" w:color="auto"/>
            <w:left w:val="none" w:sz="0" w:space="0" w:color="auto"/>
            <w:bottom w:val="none" w:sz="0" w:space="0" w:color="auto"/>
            <w:right w:val="none" w:sz="0" w:space="0" w:color="auto"/>
          </w:divBdr>
        </w:div>
        <w:div w:id="428963476">
          <w:marLeft w:val="0"/>
          <w:marRight w:val="0"/>
          <w:marTop w:val="0"/>
          <w:marBottom w:val="0"/>
          <w:divBdr>
            <w:top w:val="none" w:sz="0" w:space="0" w:color="auto"/>
            <w:left w:val="none" w:sz="0" w:space="0" w:color="auto"/>
            <w:bottom w:val="none" w:sz="0" w:space="0" w:color="auto"/>
            <w:right w:val="none" w:sz="0" w:space="0" w:color="auto"/>
          </w:divBdr>
        </w:div>
      </w:divsChild>
    </w:div>
    <w:div w:id="1152138153">
      <w:bodyDiv w:val="1"/>
      <w:marLeft w:val="0"/>
      <w:marRight w:val="0"/>
      <w:marTop w:val="0"/>
      <w:marBottom w:val="0"/>
      <w:divBdr>
        <w:top w:val="none" w:sz="0" w:space="0" w:color="auto"/>
        <w:left w:val="none" w:sz="0" w:space="0" w:color="auto"/>
        <w:bottom w:val="none" w:sz="0" w:space="0" w:color="auto"/>
        <w:right w:val="none" w:sz="0" w:space="0" w:color="auto"/>
      </w:divBdr>
    </w:div>
    <w:div w:id="1227062236">
      <w:bodyDiv w:val="1"/>
      <w:marLeft w:val="0"/>
      <w:marRight w:val="0"/>
      <w:marTop w:val="0"/>
      <w:marBottom w:val="0"/>
      <w:divBdr>
        <w:top w:val="none" w:sz="0" w:space="0" w:color="auto"/>
        <w:left w:val="none" w:sz="0" w:space="0" w:color="auto"/>
        <w:bottom w:val="none" w:sz="0" w:space="0" w:color="auto"/>
        <w:right w:val="none" w:sz="0" w:space="0" w:color="auto"/>
      </w:divBdr>
    </w:div>
    <w:div w:id="1292831316">
      <w:bodyDiv w:val="1"/>
      <w:marLeft w:val="0"/>
      <w:marRight w:val="0"/>
      <w:marTop w:val="0"/>
      <w:marBottom w:val="0"/>
      <w:divBdr>
        <w:top w:val="none" w:sz="0" w:space="0" w:color="auto"/>
        <w:left w:val="none" w:sz="0" w:space="0" w:color="auto"/>
        <w:bottom w:val="none" w:sz="0" w:space="0" w:color="auto"/>
        <w:right w:val="none" w:sz="0" w:space="0" w:color="auto"/>
      </w:divBdr>
    </w:div>
    <w:div w:id="1354957269">
      <w:bodyDiv w:val="1"/>
      <w:marLeft w:val="0"/>
      <w:marRight w:val="0"/>
      <w:marTop w:val="0"/>
      <w:marBottom w:val="0"/>
      <w:divBdr>
        <w:top w:val="none" w:sz="0" w:space="0" w:color="auto"/>
        <w:left w:val="none" w:sz="0" w:space="0" w:color="auto"/>
        <w:bottom w:val="none" w:sz="0" w:space="0" w:color="auto"/>
        <w:right w:val="none" w:sz="0" w:space="0" w:color="auto"/>
      </w:divBdr>
      <w:divsChild>
        <w:div w:id="469514253">
          <w:marLeft w:val="0"/>
          <w:marRight w:val="0"/>
          <w:marTop w:val="0"/>
          <w:marBottom w:val="0"/>
          <w:divBdr>
            <w:top w:val="none" w:sz="0" w:space="0" w:color="auto"/>
            <w:left w:val="none" w:sz="0" w:space="0" w:color="auto"/>
            <w:bottom w:val="none" w:sz="0" w:space="0" w:color="auto"/>
            <w:right w:val="none" w:sz="0" w:space="0" w:color="auto"/>
          </w:divBdr>
        </w:div>
        <w:div w:id="1959485799">
          <w:marLeft w:val="0"/>
          <w:marRight w:val="0"/>
          <w:marTop w:val="0"/>
          <w:marBottom w:val="0"/>
          <w:divBdr>
            <w:top w:val="none" w:sz="0" w:space="0" w:color="auto"/>
            <w:left w:val="none" w:sz="0" w:space="0" w:color="auto"/>
            <w:bottom w:val="none" w:sz="0" w:space="0" w:color="auto"/>
            <w:right w:val="none" w:sz="0" w:space="0" w:color="auto"/>
          </w:divBdr>
        </w:div>
        <w:div w:id="1571691202">
          <w:marLeft w:val="0"/>
          <w:marRight w:val="0"/>
          <w:marTop w:val="0"/>
          <w:marBottom w:val="0"/>
          <w:divBdr>
            <w:top w:val="none" w:sz="0" w:space="0" w:color="auto"/>
            <w:left w:val="none" w:sz="0" w:space="0" w:color="auto"/>
            <w:bottom w:val="none" w:sz="0" w:space="0" w:color="auto"/>
            <w:right w:val="none" w:sz="0" w:space="0" w:color="auto"/>
          </w:divBdr>
        </w:div>
        <w:div w:id="211383978">
          <w:marLeft w:val="0"/>
          <w:marRight w:val="0"/>
          <w:marTop w:val="0"/>
          <w:marBottom w:val="0"/>
          <w:divBdr>
            <w:top w:val="none" w:sz="0" w:space="0" w:color="auto"/>
            <w:left w:val="none" w:sz="0" w:space="0" w:color="auto"/>
            <w:bottom w:val="none" w:sz="0" w:space="0" w:color="auto"/>
            <w:right w:val="none" w:sz="0" w:space="0" w:color="auto"/>
          </w:divBdr>
        </w:div>
        <w:div w:id="2070810395">
          <w:marLeft w:val="0"/>
          <w:marRight w:val="0"/>
          <w:marTop w:val="0"/>
          <w:marBottom w:val="0"/>
          <w:divBdr>
            <w:top w:val="none" w:sz="0" w:space="0" w:color="auto"/>
            <w:left w:val="none" w:sz="0" w:space="0" w:color="auto"/>
            <w:bottom w:val="none" w:sz="0" w:space="0" w:color="auto"/>
            <w:right w:val="none" w:sz="0" w:space="0" w:color="auto"/>
          </w:divBdr>
        </w:div>
        <w:div w:id="467868788">
          <w:marLeft w:val="0"/>
          <w:marRight w:val="0"/>
          <w:marTop w:val="0"/>
          <w:marBottom w:val="0"/>
          <w:divBdr>
            <w:top w:val="none" w:sz="0" w:space="0" w:color="auto"/>
            <w:left w:val="none" w:sz="0" w:space="0" w:color="auto"/>
            <w:bottom w:val="none" w:sz="0" w:space="0" w:color="auto"/>
            <w:right w:val="none" w:sz="0" w:space="0" w:color="auto"/>
          </w:divBdr>
        </w:div>
        <w:div w:id="533081773">
          <w:marLeft w:val="0"/>
          <w:marRight w:val="0"/>
          <w:marTop w:val="0"/>
          <w:marBottom w:val="0"/>
          <w:divBdr>
            <w:top w:val="none" w:sz="0" w:space="0" w:color="auto"/>
            <w:left w:val="none" w:sz="0" w:space="0" w:color="auto"/>
            <w:bottom w:val="none" w:sz="0" w:space="0" w:color="auto"/>
            <w:right w:val="none" w:sz="0" w:space="0" w:color="auto"/>
          </w:divBdr>
        </w:div>
        <w:div w:id="1094204559">
          <w:marLeft w:val="0"/>
          <w:marRight w:val="0"/>
          <w:marTop w:val="0"/>
          <w:marBottom w:val="0"/>
          <w:divBdr>
            <w:top w:val="none" w:sz="0" w:space="0" w:color="auto"/>
            <w:left w:val="none" w:sz="0" w:space="0" w:color="auto"/>
            <w:bottom w:val="none" w:sz="0" w:space="0" w:color="auto"/>
            <w:right w:val="none" w:sz="0" w:space="0" w:color="auto"/>
          </w:divBdr>
        </w:div>
        <w:div w:id="1149202315">
          <w:marLeft w:val="0"/>
          <w:marRight w:val="0"/>
          <w:marTop w:val="0"/>
          <w:marBottom w:val="0"/>
          <w:divBdr>
            <w:top w:val="none" w:sz="0" w:space="0" w:color="auto"/>
            <w:left w:val="none" w:sz="0" w:space="0" w:color="auto"/>
            <w:bottom w:val="none" w:sz="0" w:space="0" w:color="auto"/>
            <w:right w:val="none" w:sz="0" w:space="0" w:color="auto"/>
          </w:divBdr>
        </w:div>
        <w:div w:id="1179076915">
          <w:marLeft w:val="0"/>
          <w:marRight w:val="0"/>
          <w:marTop w:val="0"/>
          <w:marBottom w:val="0"/>
          <w:divBdr>
            <w:top w:val="none" w:sz="0" w:space="0" w:color="auto"/>
            <w:left w:val="none" w:sz="0" w:space="0" w:color="auto"/>
            <w:bottom w:val="none" w:sz="0" w:space="0" w:color="auto"/>
            <w:right w:val="none" w:sz="0" w:space="0" w:color="auto"/>
          </w:divBdr>
        </w:div>
        <w:div w:id="1158154461">
          <w:marLeft w:val="0"/>
          <w:marRight w:val="0"/>
          <w:marTop w:val="0"/>
          <w:marBottom w:val="0"/>
          <w:divBdr>
            <w:top w:val="none" w:sz="0" w:space="0" w:color="auto"/>
            <w:left w:val="none" w:sz="0" w:space="0" w:color="auto"/>
            <w:bottom w:val="none" w:sz="0" w:space="0" w:color="auto"/>
            <w:right w:val="none" w:sz="0" w:space="0" w:color="auto"/>
          </w:divBdr>
        </w:div>
        <w:div w:id="325674240">
          <w:marLeft w:val="0"/>
          <w:marRight w:val="0"/>
          <w:marTop w:val="0"/>
          <w:marBottom w:val="0"/>
          <w:divBdr>
            <w:top w:val="none" w:sz="0" w:space="0" w:color="auto"/>
            <w:left w:val="none" w:sz="0" w:space="0" w:color="auto"/>
            <w:bottom w:val="none" w:sz="0" w:space="0" w:color="auto"/>
            <w:right w:val="none" w:sz="0" w:space="0" w:color="auto"/>
          </w:divBdr>
        </w:div>
        <w:div w:id="1221400372">
          <w:marLeft w:val="0"/>
          <w:marRight w:val="0"/>
          <w:marTop w:val="0"/>
          <w:marBottom w:val="0"/>
          <w:divBdr>
            <w:top w:val="none" w:sz="0" w:space="0" w:color="auto"/>
            <w:left w:val="none" w:sz="0" w:space="0" w:color="auto"/>
            <w:bottom w:val="none" w:sz="0" w:space="0" w:color="auto"/>
            <w:right w:val="none" w:sz="0" w:space="0" w:color="auto"/>
          </w:divBdr>
        </w:div>
        <w:div w:id="1102799218">
          <w:marLeft w:val="0"/>
          <w:marRight w:val="0"/>
          <w:marTop w:val="0"/>
          <w:marBottom w:val="0"/>
          <w:divBdr>
            <w:top w:val="none" w:sz="0" w:space="0" w:color="auto"/>
            <w:left w:val="none" w:sz="0" w:space="0" w:color="auto"/>
            <w:bottom w:val="none" w:sz="0" w:space="0" w:color="auto"/>
            <w:right w:val="none" w:sz="0" w:space="0" w:color="auto"/>
          </w:divBdr>
        </w:div>
        <w:div w:id="166135676">
          <w:marLeft w:val="0"/>
          <w:marRight w:val="0"/>
          <w:marTop w:val="0"/>
          <w:marBottom w:val="0"/>
          <w:divBdr>
            <w:top w:val="none" w:sz="0" w:space="0" w:color="auto"/>
            <w:left w:val="none" w:sz="0" w:space="0" w:color="auto"/>
            <w:bottom w:val="none" w:sz="0" w:space="0" w:color="auto"/>
            <w:right w:val="none" w:sz="0" w:space="0" w:color="auto"/>
          </w:divBdr>
        </w:div>
        <w:div w:id="389041172">
          <w:marLeft w:val="0"/>
          <w:marRight w:val="0"/>
          <w:marTop w:val="0"/>
          <w:marBottom w:val="0"/>
          <w:divBdr>
            <w:top w:val="none" w:sz="0" w:space="0" w:color="auto"/>
            <w:left w:val="none" w:sz="0" w:space="0" w:color="auto"/>
            <w:bottom w:val="none" w:sz="0" w:space="0" w:color="auto"/>
            <w:right w:val="none" w:sz="0" w:space="0" w:color="auto"/>
          </w:divBdr>
        </w:div>
        <w:div w:id="857550517">
          <w:marLeft w:val="0"/>
          <w:marRight w:val="0"/>
          <w:marTop w:val="0"/>
          <w:marBottom w:val="0"/>
          <w:divBdr>
            <w:top w:val="none" w:sz="0" w:space="0" w:color="auto"/>
            <w:left w:val="none" w:sz="0" w:space="0" w:color="auto"/>
            <w:bottom w:val="none" w:sz="0" w:space="0" w:color="auto"/>
            <w:right w:val="none" w:sz="0" w:space="0" w:color="auto"/>
          </w:divBdr>
        </w:div>
        <w:div w:id="2027049853">
          <w:marLeft w:val="0"/>
          <w:marRight w:val="0"/>
          <w:marTop w:val="0"/>
          <w:marBottom w:val="0"/>
          <w:divBdr>
            <w:top w:val="none" w:sz="0" w:space="0" w:color="auto"/>
            <w:left w:val="none" w:sz="0" w:space="0" w:color="auto"/>
            <w:bottom w:val="none" w:sz="0" w:space="0" w:color="auto"/>
            <w:right w:val="none" w:sz="0" w:space="0" w:color="auto"/>
          </w:divBdr>
        </w:div>
        <w:div w:id="240023414">
          <w:marLeft w:val="0"/>
          <w:marRight w:val="0"/>
          <w:marTop w:val="0"/>
          <w:marBottom w:val="0"/>
          <w:divBdr>
            <w:top w:val="none" w:sz="0" w:space="0" w:color="auto"/>
            <w:left w:val="none" w:sz="0" w:space="0" w:color="auto"/>
            <w:bottom w:val="none" w:sz="0" w:space="0" w:color="auto"/>
            <w:right w:val="none" w:sz="0" w:space="0" w:color="auto"/>
          </w:divBdr>
        </w:div>
        <w:div w:id="164826809">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87238087">
          <w:marLeft w:val="0"/>
          <w:marRight w:val="0"/>
          <w:marTop w:val="0"/>
          <w:marBottom w:val="0"/>
          <w:divBdr>
            <w:top w:val="none" w:sz="0" w:space="0" w:color="auto"/>
            <w:left w:val="none" w:sz="0" w:space="0" w:color="auto"/>
            <w:bottom w:val="none" w:sz="0" w:space="0" w:color="auto"/>
            <w:right w:val="none" w:sz="0" w:space="0" w:color="auto"/>
          </w:divBdr>
        </w:div>
        <w:div w:id="1339499626">
          <w:marLeft w:val="0"/>
          <w:marRight w:val="0"/>
          <w:marTop w:val="0"/>
          <w:marBottom w:val="0"/>
          <w:divBdr>
            <w:top w:val="none" w:sz="0" w:space="0" w:color="auto"/>
            <w:left w:val="none" w:sz="0" w:space="0" w:color="auto"/>
            <w:bottom w:val="none" w:sz="0" w:space="0" w:color="auto"/>
            <w:right w:val="none" w:sz="0" w:space="0" w:color="auto"/>
          </w:divBdr>
        </w:div>
        <w:div w:id="292753318">
          <w:marLeft w:val="0"/>
          <w:marRight w:val="0"/>
          <w:marTop w:val="0"/>
          <w:marBottom w:val="0"/>
          <w:divBdr>
            <w:top w:val="none" w:sz="0" w:space="0" w:color="auto"/>
            <w:left w:val="none" w:sz="0" w:space="0" w:color="auto"/>
            <w:bottom w:val="none" w:sz="0" w:space="0" w:color="auto"/>
            <w:right w:val="none" w:sz="0" w:space="0" w:color="auto"/>
          </w:divBdr>
        </w:div>
        <w:div w:id="1390612319">
          <w:marLeft w:val="0"/>
          <w:marRight w:val="0"/>
          <w:marTop w:val="0"/>
          <w:marBottom w:val="0"/>
          <w:divBdr>
            <w:top w:val="none" w:sz="0" w:space="0" w:color="auto"/>
            <w:left w:val="none" w:sz="0" w:space="0" w:color="auto"/>
            <w:bottom w:val="none" w:sz="0" w:space="0" w:color="auto"/>
            <w:right w:val="none" w:sz="0" w:space="0" w:color="auto"/>
          </w:divBdr>
        </w:div>
        <w:div w:id="1079598971">
          <w:marLeft w:val="0"/>
          <w:marRight w:val="0"/>
          <w:marTop w:val="0"/>
          <w:marBottom w:val="0"/>
          <w:divBdr>
            <w:top w:val="none" w:sz="0" w:space="0" w:color="auto"/>
            <w:left w:val="none" w:sz="0" w:space="0" w:color="auto"/>
            <w:bottom w:val="none" w:sz="0" w:space="0" w:color="auto"/>
            <w:right w:val="none" w:sz="0" w:space="0" w:color="auto"/>
          </w:divBdr>
        </w:div>
        <w:div w:id="465664827">
          <w:marLeft w:val="0"/>
          <w:marRight w:val="0"/>
          <w:marTop w:val="0"/>
          <w:marBottom w:val="0"/>
          <w:divBdr>
            <w:top w:val="none" w:sz="0" w:space="0" w:color="auto"/>
            <w:left w:val="none" w:sz="0" w:space="0" w:color="auto"/>
            <w:bottom w:val="none" w:sz="0" w:space="0" w:color="auto"/>
            <w:right w:val="none" w:sz="0" w:space="0" w:color="auto"/>
          </w:divBdr>
        </w:div>
        <w:div w:id="959606251">
          <w:marLeft w:val="0"/>
          <w:marRight w:val="0"/>
          <w:marTop w:val="0"/>
          <w:marBottom w:val="0"/>
          <w:divBdr>
            <w:top w:val="none" w:sz="0" w:space="0" w:color="auto"/>
            <w:left w:val="none" w:sz="0" w:space="0" w:color="auto"/>
            <w:bottom w:val="none" w:sz="0" w:space="0" w:color="auto"/>
            <w:right w:val="none" w:sz="0" w:space="0" w:color="auto"/>
          </w:divBdr>
        </w:div>
        <w:div w:id="1975938343">
          <w:marLeft w:val="0"/>
          <w:marRight w:val="0"/>
          <w:marTop w:val="0"/>
          <w:marBottom w:val="0"/>
          <w:divBdr>
            <w:top w:val="none" w:sz="0" w:space="0" w:color="auto"/>
            <w:left w:val="none" w:sz="0" w:space="0" w:color="auto"/>
            <w:bottom w:val="none" w:sz="0" w:space="0" w:color="auto"/>
            <w:right w:val="none" w:sz="0" w:space="0" w:color="auto"/>
          </w:divBdr>
        </w:div>
        <w:div w:id="641614285">
          <w:marLeft w:val="0"/>
          <w:marRight w:val="0"/>
          <w:marTop w:val="0"/>
          <w:marBottom w:val="0"/>
          <w:divBdr>
            <w:top w:val="none" w:sz="0" w:space="0" w:color="auto"/>
            <w:left w:val="none" w:sz="0" w:space="0" w:color="auto"/>
            <w:bottom w:val="none" w:sz="0" w:space="0" w:color="auto"/>
            <w:right w:val="none" w:sz="0" w:space="0" w:color="auto"/>
          </w:divBdr>
        </w:div>
        <w:div w:id="2140220656">
          <w:marLeft w:val="0"/>
          <w:marRight w:val="0"/>
          <w:marTop w:val="0"/>
          <w:marBottom w:val="0"/>
          <w:divBdr>
            <w:top w:val="none" w:sz="0" w:space="0" w:color="auto"/>
            <w:left w:val="none" w:sz="0" w:space="0" w:color="auto"/>
            <w:bottom w:val="none" w:sz="0" w:space="0" w:color="auto"/>
            <w:right w:val="none" w:sz="0" w:space="0" w:color="auto"/>
          </w:divBdr>
        </w:div>
        <w:div w:id="2116561341">
          <w:marLeft w:val="0"/>
          <w:marRight w:val="0"/>
          <w:marTop w:val="0"/>
          <w:marBottom w:val="0"/>
          <w:divBdr>
            <w:top w:val="none" w:sz="0" w:space="0" w:color="auto"/>
            <w:left w:val="none" w:sz="0" w:space="0" w:color="auto"/>
            <w:bottom w:val="none" w:sz="0" w:space="0" w:color="auto"/>
            <w:right w:val="none" w:sz="0" w:space="0" w:color="auto"/>
          </w:divBdr>
        </w:div>
      </w:divsChild>
    </w:div>
    <w:div w:id="1478494198">
      <w:bodyDiv w:val="1"/>
      <w:marLeft w:val="0"/>
      <w:marRight w:val="0"/>
      <w:marTop w:val="0"/>
      <w:marBottom w:val="0"/>
      <w:divBdr>
        <w:top w:val="none" w:sz="0" w:space="0" w:color="auto"/>
        <w:left w:val="none" w:sz="0" w:space="0" w:color="auto"/>
        <w:bottom w:val="none" w:sz="0" w:space="0" w:color="auto"/>
        <w:right w:val="none" w:sz="0" w:space="0" w:color="auto"/>
      </w:divBdr>
      <w:divsChild>
        <w:div w:id="557208585">
          <w:marLeft w:val="0"/>
          <w:marRight w:val="0"/>
          <w:marTop w:val="0"/>
          <w:marBottom w:val="0"/>
          <w:divBdr>
            <w:top w:val="none" w:sz="0" w:space="0" w:color="auto"/>
            <w:left w:val="none" w:sz="0" w:space="0" w:color="auto"/>
            <w:bottom w:val="none" w:sz="0" w:space="0" w:color="auto"/>
            <w:right w:val="none" w:sz="0" w:space="0" w:color="auto"/>
          </w:divBdr>
        </w:div>
        <w:div w:id="21171875">
          <w:marLeft w:val="0"/>
          <w:marRight w:val="0"/>
          <w:marTop w:val="0"/>
          <w:marBottom w:val="0"/>
          <w:divBdr>
            <w:top w:val="none" w:sz="0" w:space="0" w:color="auto"/>
            <w:left w:val="none" w:sz="0" w:space="0" w:color="auto"/>
            <w:bottom w:val="none" w:sz="0" w:space="0" w:color="auto"/>
            <w:right w:val="none" w:sz="0" w:space="0" w:color="auto"/>
          </w:divBdr>
        </w:div>
        <w:div w:id="191574012">
          <w:marLeft w:val="0"/>
          <w:marRight w:val="0"/>
          <w:marTop w:val="0"/>
          <w:marBottom w:val="0"/>
          <w:divBdr>
            <w:top w:val="none" w:sz="0" w:space="0" w:color="auto"/>
            <w:left w:val="none" w:sz="0" w:space="0" w:color="auto"/>
            <w:bottom w:val="none" w:sz="0" w:space="0" w:color="auto"/>
            <w:right w:val="none" w:sz="0" w:space="0" w:color="auto"/>
          </w:divBdr>
        </w:div>
        <w:div w:id="1904178752">
          <w:marLeft w:val="0"/>
          <w:marRight w:val="0"/>
          <w:marTop w:val="0"/>
          <w:marBottom w:val="0"/>
          <w:divBdr>
            <w:top w:val="none" w:sz="0" w:space="0" w:color="auto"/>
            <w:left w:val="none" w:sz="0" w:space="0" w:color="auto"/>
            <w:bottom w:val="none" w:sz="0" w:space="0" w:color="auto"/>
            <w:right w:val="none" w:sz="0" w:space="0" w:color="auto"/>
          </w:divBdr>
        </w:div>
        <w:div w:id="369384542">
          <w:marLeft w:val="0"/>
          <w:marRight w:val="0"/>
          <w:marTop w:val="0"/>
          <w:marBottom w:val="0"/>
          <w:divBdr>
            <w:top w:val="none" w:sz="0" w:space="0" w:color="auto"/>
            <w:left w:val="none" w:sz="0" w:space="0" w:color="auto"/>
            <w:bottom w:val="none" w:sz="0" w:space="0" w:color="auto"/>
            <w:right w:val="none" w:sz="0" w:space="0" w:color="auto"/>
          </w:divBdr>
        </w:div>
        <w:div w:id="553277018">
          <w:marLeft w:val="0"/>
          <w:marRight w:val="0"/>
          <w:marTop w:val="0"/>
          <w:marBottom w:val="0"/>
          <w:divBdr>
            <w:top w:val="none" w:sz="0" w:space="0" w:color="auto"/>
            <w:left w:val="none" w:sz="0" w:space="0" w:color="auto"/>
            <w:bottom w:val="none" w:sz="0" w:space="0" w:color="auto"/>
            <w:right w:val="none" w:sz="0" w:space="0" w:color="auto"/>
          </w:divBdr>
        </w:div>
        <w:div w:id="1798332012">
          <w:marLeft w:val="0"/>
          <w:marRight w:val="0"/>
          <w:marTop w:val="0"/>
          <w:marBottom w:val="0"/>
          <w:divBdr>
            <w:top w:val="none" w:sz="0" w:space="0" w:color="auto"/>
            <w:left w:val="none" w:sz="0" w:space="0" w:color="auto"/>
            <w:bottom w:val="none" w:sz="0" w:space="0" w:color="auto"/>
            <w:right w:val="none" w:sz="0" w:space="0" w:color="auto"/>
          </w:divBdr>
        </w:div>
        <w:div w:id="191963544">
          <w:marLeft w:val="0"/>
          <w:marRight w:val="0"/>
          <w:marTop w:val="0"/>
          <w:marBottom w:val="0"/>
          <w:divBdr>
            <w:top w:val="none" w:sz="0" w:space="0" w:color="auto"/>
            <w:left w:val="none" w:sz="0" w:space="0" w:color="auto"/>
            <w:bottom w:val="none" w:sz="0" w:space="0" w:color="auto"/>
            <w:right w:val="none" w:sz="0" w:space="0" w:color="auto"/>
          </w:divBdr>
        </w:div>
        <w:div w:id="1206721515">
          <w:marLeft w:val="0"/>
          <w:marRight w:val="0"/>
          <w:marTop w:val="0"/>
          <w:marBottom w:val="0"/>
          <w:divBdr>
            <w:top w:val="none" w:sz="0" w:space="0" w:color="auto"/>
            <w:left w:val="none" w:sz="0" w:space="0" w:color="auto"/>
            <w:bottom w:val="none" w:sz="0" w:space="0" w:color="auto"/>
            <w:right w:val="none" w:sz="0" w:space="0" w:color="auto"/>
          </w:divBdr>
        </w:div>
        <w:div w:id="349453550">
          <w:marLeft w:val="0"/>
          <w:marRight w:val="0"/>
          <w:marTop w:val="0"/>
          <w:marBottom w:val="0"/>
          <w:divBdr>
            <w:top w:val="none" w:sz="0" w:space="0" w:color="auto"/>
            <w:left w:val="none" w:sz="0" w:space="0" w:color="auto"/>
            <w:bottom w:val="none" w:sz="0" w:space="0" w:color="auto"/>
            <w:right w:val="none" w:sz="0" w:space="0" w:color="auto"/>
          </w:divBdr>
        </w:div>
        <w:div w:id="38436269">
          <w:marLeft w:val="0"/>
          <w:marRight w:val="0"/>
          <w:marTop w:val="0"/>
          <w:marBottom w:val="0"/>
          <w:divBdr>
            <w:top w:val="none" w:sz="0" w:space="0" w:color="auto"/>
            <w:left w:val="none" w:sz="0" w:space="0" w:color="auto"/>
            <w:bottom w:val="none" w:sz="0" w:space="0" w:color="auto"/>
            <w:right w:val="none" w:sz="0" w:space="0" w:color="auto"/>
          </w:divBdr>
        </w:div>
        <w:div w:id="2066757403">
          <w:marLeft w:val="0"/>
          <w:marRight w:val="0"/>
          <w:marTop w:val="0"/>
          <w:marBottom w:val="0"/>
          <w:divBdr>
            <w:top w:val="none" w:sz="0" w:space="0" w:color="auto"/>
            <w:left w:val="none" w:sz="0" w:space="0" w:color="auto"/>
            <w:bottom w:val="none" w:sz="0" w:space="0" w:color="auto"/>
            <w:right w:val="none" w:sz="0" w:space="0" w:color="auto"/>
          </w:divBdr>
        </w:div>
        <w:div w:id="406391324">
          <w:marLeft w:val="0"/>
          <w:marRight w:val="0"/>
          <w:marTop w:val="0"/>
          <w:marBottom w:val="0"/>
          <w:divBdr>
            <w:top w:val="none" w:sz="0" w:space="0" w:color="auto"/>
            <w:left w:val="none" w:sz="0" w:space="0" w:color="auto"/>
            <w:bottom w:val="none" w:sz="0" w:space="0" w:color="auto"/>
            <w:right w:val="none" w:sz="0" w:space="0" w:color="auto"/>
          </w:divBdr>
        </w:div>
      </w:divsChild>
    </w:div>
    <w:div w:id="1504323418">
      <w:bodyDiv w:val="1"/>
      <w:marLeft w:val="0"/>
      <w:marRight w:val="0"/>
      <w:marTop w:val="0"/>
      <w:marBottom w:val="0"/>
      <w:divBdr>
        <w:top w:val="none" w:sz="0" w:space="0" w:color="auto"/>
        <w:left w:val="none" w:sz="0" w:space="0" w:color="auto"/>
        <w:bottom w:val="none" w:sz="0" w:space="0" w:color="auto"/>
        <w:right w:val="none" w:sz="0" w:space="0" w:color="auto"/>
      </w:divBdr>
    </w:div>
    <w:div w:id="1549367999">
      <w:bodyDiv w:val="1"/>
      <w:marLeft w:val="0"/>
      <w:marRight w:val="0"/>
      <w:marTop w:val="0"/>
      <w:marBottom w:val="0"/>
      <w:divBdr>
        <w:top w:val="none" w:sz="0" w:space="0" w:color="auto"/>
        <w:left w:val="none" w:sz="0" w:space="0" w:color="auto"/>
        <w:bottom w:val="none" w:sz="0" w:space="0" w:color="auto"/>
        <w:right w:val="none" w:sz="0" w:space="0" w:color="auto"/>
      </w:divBdr>
      <w:divsChild>
        <w:div w:id="1973243572">
          <w:marLeft w:val="0"/>
          <w:marRight w:val="0"/>
          <w:marTop w:val="0"/>
          <w:marBottom w:val="0"/>
          <w:divBdr>
            <w:top w:val="none" w:sz="0" w:space="0" w:color="auto"/>
            <w:left w:val="none" w:sz="0" w:space="0" w:color="auto"/>
            <w:bottom w:val="none" w:sz="0" w:space="0" w:color="auto"/>
            <w:right w:val="none" w:sz="0" w:space="0" w:color="auto"/>
          </w:divBdr>
        </w:div>
        <w:div w:id="1740713083">
          <w:marLeft w:val="0"/>
          <w:marRight w:val="0"/>
          <w:marTop w:val="0"/>
          <w:marBottom w:val="0"/>
          <w:divBdr>
            <w:top w:val="none" w:sz="0" w:space="0" w:color="auto"/>
            <w:left w:val="none" w:sz="0" w:space="0" w:color="auto"/>
            <w:bottom w:val="none" w:sz="0" w:space="0" w:color="auto"/>
            <w:right w:val="none" w:sz="0" w:space="0" w:color="auto"/>
          </w:divBdr>
        </w:div>
        <w:div w:id="240331146">
          <w:marLeft w:val="0"/>
          <w:marRight w:val="0"/>
          <w:marTop w:val="0"/>
          <w:marBottom w:val="0"/>
          <w:divBdr>
            <w:top w:val="none" w:sz="0" w:space="0" w:color="auto"/>
            <w:left w:val="none" w:sz="0" w:space="0" w:color="auto"/>
            <w:bottom w:val="none" w:sz="0" w:space="0" w:color="auto"/>
            <w:right w:val="none" w:sz="0" w:space="0" w:color="auto"/>
          </w:divBdr>
        </w:div>
        <w:div w:id="951207353">
          <w:marLeft w:val="0"/>
          <w:marRight w:val="0"/>
          <w:marTop w:val="0"/>
          <w:marBottom w:val="0"/>
          <w:divBdr>
            <w:top w:val="none" w:sz="0" w:space="0" w:color="auto"/>
            <w:left w:val="none" w:sz="0" w:space="0" w:color="auto"/>
            <w:bottom w:val="none" w:sz="0" w:space="0" w:color="auto"/>
            <w:right w:val="none" w:sz="0" w:space="0" w:color="auto"/>
          </w:divBdr>
        </w:div>
        <w:div w:id="2020159510">
          <w:marLeft w:val="0"/>
          <w:marRight w:val="0"/>
          <w:marTop w:val="0"/>
          <w:marBottom w:val="0"/>
          <w:divBdr>
            <w:top w:val="none" w:sz="0" w:space="0" w:color="auto"/>
            <w:left w:val="none" w:sz="0" w:space="0" w:color="auto"/>
            <w:bottom w:val="none" w:sz="0" w:space="0" w:color="auto"/>
            <w:right w:val="none" w:sz="0" w:space="0" w:color="auto"/>
          </w:divBdr>
        </w:div>
      </w:divsChild>
    </w:div>
    <w:div w:id="1640761758">
      <w:bodyDiv w:val="1"/>
      <w:marLeft w:val="0"/>
      <w:marRight w:val="0"/>
      <w:marTop w:val="0"/>
      <w:marBottom w:val="0"/>
      <w:divBdr>
        <w:top w:val="none" w:sz="0" w:space="0" w:color="auto"/>
        <w:left w:val="none" w:sz="0" w:space="0" w:color="auto"/>
        <w:bottom w:val="none" w:sz="0" w:space="0" w:color="auto"/>
        <w:right w:val="none" w:sz="0" w:space="0" w:color="auto"/>
      </w:divBdr>
      <w:divsChild>
        <w:div w:id="1351252552">
          <w:marLeft w:val="0"/>
          <w:marRight w:val="0"/>
          <w:marTop w:val="0"/>
          <w:marBottom w:val="0"/>
          <w:divBdr>
            <w:top w:val="none" w:sz="0" w:space="0" w:color="auto"/>
            <w:left w:val="none" w:sz="0" w:space="0" w:color="auto"/>
            <w:bottom w:val="none" w:sz="0" w:space="0" w:color="auto"/>
            <w:right w:val="none" w:sz="0" w:space="0" w:color="auto"/>
          </w:divBdr>
        </w:div>
        <w:div w:id="1070494869">
          <w:marLeft w:val="0"/>
          <w:marRight w:val="0"/>
          <w:marTop w:val="0"/>
          <w:marBottom w:val="0"/>
          <w:divBdr>
            <w:top w:val="none" w:sz="0" w:space="0" w:color="auto"/>
            <w:left w:val="none" w:sz="0" w:space="0" w:color="auto"/>
            <w:bottom w:val="none" w:sz="0" w:space="0" w:color="auto"/>
            <w:right w:val="none" w:sz="0" w:space="0" w:color="auto"/>
          </w:divBdr>
        </w:div>
        <w:div w:id="325741771">
          <w:marLeft w:val="0"/>
          <w:marRight w:val="0"/>
          <w:marTop w:val="0"/>
          <w:marBottom w:val="0"/>
          <w:divBdr>
            <w:top w:val="none" w:sz="0" w:space="0" w:color="auto"/>
            <w:left w:val="none" w:sz="0" w:space="0" w:color="auto"/>
            <w:bottom w:val="none" w:sz="0" w:space="0" w:color="auto"/>
            <w:right w:val="none" w:sz="0" w:space="0" w:color="auto"/>
          </w:divBdr>
        </w:div>
      </w:divsChild>
    </w:div>
    <w:div w:id="1771125228">
      <w:bodyDiv w:val="1"/>
      <w:marLeft w:val="0"/>
      <w:marRight w:val="0"/>
      <w:marTop w:val="0"/>
      <w:marBottom w:val="0"/>
      <w:divBdr>
        <w:top w:val="none" w:sz="0" w:space="0" w:color="auto"/>
        <w:left w:val="none" w:sz="0" w:space="0" w:color="auto"/>
        <w:bottom w:val="none" w:sz="0" w:space="0" w:color="auto"/>
        <w:right w:val="none" w:sz="0" w:space="0" w:color="auto"/>
      </w:divBdr>
      <w:divsChild>
        <w:div w:id="1676155407">
          <w:marLeft w:val="0"/>
          <w:marRight w:val="0"/>
          <w:marTop w:val="0"/>
          <w:marBottom w:val="0"/>
          <w:divBdr>
            <w:top w:val="none" w:sz="0" w:space="0" w:color="auto"/>
            <w:left w:val="none" w:sz="0" w:space="0" w:color="auto"/>
            <w:bottom w:val="none" w:sz="0" w:space="0" w:color="auto"/>
            <w:right w:val="none" w:sz="0" w:space="0" w:color="auto"/>
          </w:divBdr>
        </w:div>
        <w:div w:id="1134176943">
          <w:marLeft w:val="0"/>
          <w:marRight w:val="0"/>
          <w:marTop w:val="0"/>
          <w:marBottom w:val="0"/>
          <w:divBdr>
            <w:top w:val="none" w:sz="0" w:space="0" w:color="auto"/>
            <w:left w:val="none" w:sz="0" w:space="0" w:color="auto"/>
            <w:bottom w:val="none" w:sz="0" w:space="0" w:color="auto"/>
            <w:right w:val="none" w:sz="0" w:space="0" w:color="auto"/>
          </w:divBdr>
        </w:div>
        <w:div w:id="157310023">
          <w:marLeft w:val="0"/>
          <w:marRight w:val="0"/>
          <w:marTop w:val="0"/>
          <w:marBottom w:val="0"/>
          <w:divBdr>
            <w:top w:val="none" w:sz="0" w:space="0" w:color="auto"/>
            <w:left w:val="none" w:sz="0" w:space="0" w:color="auto"/>
            <w:bottom w:val="none" w:sz="0" w:space="0" w:color="auto"/>
            <w:right w:val="none" w:sz="0" w:space="0" w:color="auto"/>
          </w:divBdr>
        </w:div>
        <w:div w:id="1152067681">
          <w:marLeft w:val="0"/>
          <w:marRight w:val="0"/>
          <w:marTop w:val="0"/>
          <w:marBottom w:val="0"/>
          <w:divBdr>
            <w:top w:val="none" w:sz="0" w:space="0" w:color="auto"/>
            <w:left w:val="none" w:sz="0" w:space="0" w:color="auto"/>
            <w:bottom w:val="none" w:sz="0" w:space="0" w:color="auto"/>
            <w:right w:val="none" w:sz="0" w:space="0" w:color="auto"/>
          </w:divBdr>
        </w:div>
        <w:div w:id="652299542">
          <w:marLeft w:val="0"/>
          <w:marRight w:val="0"/>
          <w:marTop w:val="0"/>
          <w:marBottom w:val="0"/>
          <w:divBdr>
            <w:top w:val="none" w:sz="0" w:space="0" w:color="auto"/>
            <w:left w:val="none" w:sz="0" w:space="0" w:color="auto"/>
            <w:bottom w:val="none" w:sz="0" w:space="0" w:color="auto"/>
            <w:right w:val="none" w:sz="0" w:space="0" w:color="auto"/>
          </w:divBdr>
        </w:div>
      </w:divsChild>
    </w:div>
    <w:div w:id="1971520462">
      <w:bodyDiv w:val="1"/>
      <w:marLeft w:val="0"/>
      <w:marRight w:val="0"/>
      <w:marTop w:val="0"/>
      <w:marBottom w:val="0"/>
      <w:divBdr>
        <w:top w:val="none" w:sz="0" w:space="0" w:color="auto"/>
        <w:left w:val="none" w:sz="0" w:space="0" w:color="auto"/>
        <w:bottom w:val="none" w:sz="0" w:space="0" w:color="auto"/>
        <w:right w:val="none" w:sz="0" w:space="0" w:color="auto"/>
      </w:divBdr>
      <w:divsChild>
        <w:div w:id="350107317">
          <w:marLeft w:val="0"/>
          <w:marRight w:val="0"/>
          <w:marTop w:val="0"/>
          <w:marBottom w:val="0"/>
          <w:divBdr>
            <w:top w:val="none" w:sz="0" w:space="0" w:color="auto"/>
            <w:left w:val="none" w:sz="0" w:space="0" w:color="auto"/>
            <w:bottom w:val="none" w:sz="0" w:space="0" w:color="auto"/>
            <w:right w:val="none" w:sz="0" w:space="0" w:color="auto"/>
          </w:divBdr>
        </w:div>
        <w:div w:id="1285887507">
          <w:marLeft w:val="0"/>
          <w:marRight w:val="0"/>
          <w:marTop w:val="0"/>
          <w:marBottom w:val="0"/>
          <w:divBdr>
            <w:top w:val="none" w:sz="0" w:space="0" w:color="auto"/>
            <w:left w:val="none" w:sz="0" w:space="0" w:color="auto"/>
            <w:bottom w:val="none" w:sz="0" w:space="0" w:color="auto"/>
            <w:right w:val="none" w:sz="0" w:space="0" w:color="auto"/>
          </w:divBdr>
        </w:div>
      </w:divsChild>
    </w:div>
    <w:div w:id="2062433920">
      <w:bodyDiv w:val="1"/>
      <w:marLeft w:val="0"/>
      <w:marRight w:val="0"/>
      <w:marTop w:val="0"/>
      <w:marBottom w:val="0"/>
      <w:divBdr>
        <w:top w:val="none" w:sz="0" w:space="0" w:color="auto"/>
        <w:left w:val="none" w:sz="0" w:space="0" w:color="auto"/>
        <w:bottom w:val="none" w:sz="0" w:space="0" w:color="auto"/>
        <w:right w:val="none" w:sz="0" w:space="0" w:color="auto"/>
      </w:divBdr>
      <w:divsChild>
        <w:div w:id="2087453169">
          <w:marLeft w:val="0"/>
          <w:marRight w:val="0"/>
          <w:marTop w:val="0"/>
          <w:marBottom w:val="0"/>
          <w:divBdr>
            <w:top w:val="none" w:sz="0" w:space="0" w:color="auto"/>
            <w:left w:val="none" w:sz="0" w:space="0" w:color="auto"/>
            <w:bottom w:val="none" w:sz="0" w:space="0" w:color="auto"/>
            <w:right w:val="none" w:sz="0" w:space="0" w:color="auto"/>
          </w:divBdr>
        </w:div>
        <w:div w:id="1909685094">
          <w:marLeft w:val="0"/>
          <w:marRight w:val="0"/>
          <w:marTop w:val="0"/>
          <w:marBottom w:val="0"/>
          <w:divBdr>
            <w:top w:val="none" w:sz="0" w:space="0" w:color="auto"/>
            <w:left w:val="none" w:sz="0" w:space="0" w:color="auto"/>
            <w:bottom w:val="none" w:sz="0" w:space="0" w:color="auto"/>
            <w:right w:val="none" w:sz="0" w:space="0" w:color="auto"/>
          </w:divBdr>
        </w:div>
        <w:div w:id="727993294">
          <w:marLeft w:val="0"/>
          <w:marRight w:val="0"/>
          <w:marTop w:val="0"/>
          <w:marBottom w:val="0"/>
          <w:divBdr>
            <w:top w:val="none" w:sz="0" w:space="0" w:color="auto"/>
            <w:left w:val="none" w:sz="0" w:space="0" w:color="auto"/>
            <w:bottom w:val="none" w:sz="0" w:space="0" w:color="auto"/>
            <w:right w:val="none" w:sz="0" w:space="0" w:color="auto"/>
          </w:divBdr>
        </w:div>
        <w:div w:id="1203009258">
          <w:marLeft w:val="0"/>
          <w:marRight w:val="0"/>
          <w:marTop w:val="0"/>
          <w:marBottom w:val="0"/>
          <w:divBdr>
            <w:top w:val="none" w:sz="0" w:space="0" w:color="auto"/>
            <w:left w:val="none" w:sz="0" w:space="0" w:color="auto"/>
            <w:bottom w:val="none" w:sz="0" w:space="0" w:color="auto"/>
            <w:right w:val="none" w:sz="0" w:space="0" w:color="auto"/>
          </w:divBdr>
        </w:div>
        <w:div w:id="317803150">
          <w:marLeft w:val="0"/>
          <w:marRight w:val="0"/>
          <w:marTop w:val="0"/>
          <w:marBottom w:val="0"/>
          <w:divBdr>
            <w:top w:val="none" w:sz="0" w:space="0" w:color="auto"/>
            <w:left w:val="none" w:sz="0" w:space="0" w:color="auto"/>
            <w:bottom w:val="none" w:sz="0" w:space="0" w:color="auto"/>
            <w:right w:val="none" w:sz="0" w:space="0" w:color="auto"/>
          </w:divBdr>
        </w:div>
        <w:div w:id="1452237078">
          <w:marLeft w:val="0"/>
          <w:marRight w:val="0"/>
          <w:marTop w:val="0"/>
          <w:marBottom w:val="0"/>
          <w:divBdr>
            <w:top w:val="none" w:sz="0" w:space="0" w:color="auto"/>
            <w:left w:val="none" w:sz="0" w:space="0" w:color="auto"/>
            <w:bottom w:val="none" w:sz="0" w:space="0" w:color="auto"/>
            <w:right w:val="none" w:sz="0" w:space="0" w:color="auto"/>
          </w:divBdr>
        </w:div>
        <w:div w:id="731927506">
          <w:marLeft w:val="0"/>
          <w:marRight w:val="0"/>
          <w:marTop w:val="0"/>
          <w:marBottom w:val="0"/>
          <w:divBdr>
            <w:top w:val="none" w:sz="0" w:space="0" w:color="auto"/>
            <w:left w:val="none" w:sz="0" w:space="0" w:color="auto"/>
            <w:bottom w:val="none" w:sz="0" w:space="0" w:color="auto"/>
            <w:right w:val="none" w:sz="0" w:space="0" w:color="auto"/>
          </w:divBdr>
        </w:div>
        <w:div w:id="1240793626">
          <w:marLeft w:val="0"/>
          <w:marRight w:val="0"/>
          <w:marTop w:val="0"/>
          <w:marBottom w:val="0"/>
          <w:divBdr>
            <w:top w:val="none" w:sz="0" w:space="0" w:color="auto"/>
            <w:left w:val="none" w:sz="0" w:space="0" w:color="auto"/>
            <w:bottom w:val="none" w:sz="0" w:space="0" w:color="auto"/>
            <w:right w:val="none" w:sz="0" w:space="0" w:color="auto"/>
          </w:divBdr>
        </w:div>
        <w:div w:id="512840883">
          <w:marLeft w:val="0"/>
          <w:marRight w:val="0"/>
          <w:marTop w:val="0"/>
          <w:marBottom w:val="0"/>
          <w:divBdr>
            <w:top w:val="none" w:sz="0" w:space="0" w:color="auto"/>
            <w:left w:val="none" w:sz="0" w:space="0" w:color="auto"/>
            <w:bottom w:val="none" w:sz="0" w:space="0" w:color="auto"/>
            <w:right w:val="none" w:sz="0" w:space="0" w:color="auto"/>
          </w:divBdr>
        </w:div>
      </w:divsChild>
    </w:div>
    <w:div w:id="2082748613">
      <w:bodyDiv w:val="1"/>
      <w:marLeft w:val="0"/>
      <w:marRight w:val="0"/>
      <w:marTop w:val="0"/>
      <w:marBottom w:val="0"/>
      <w:divBdr>
        <w:top w:val="none" w:sz="0" w:space="0" w:color="auto"/>
        <w:left w:val="none" w:sz="0" w:space="0" w:color="auto"/>
        <w:bottom w:val="none" w:sz="0" w:space="0" w:color="auto"/>
        <w:right w:val="none" w:sz="0" w:space="0" w:color="auto"/>
      </w:divBdr>
      <w:divsChild>
        <w:div w:id="780104485">
          <w:marLeft w:val="0"/>
          <w:marRight w:val="0"/>
          <w:marTop w:val="0"/>
          <w:marBottom w:val="0"/>
          <w:divBdr>
            <w:top w:val="none" w:sz="0" w:space="0" w:color="auto"/>
            <w:left w:val="none" w:sz="0" w:space="0" w:color="auto"/>
            <w:bottom w:val="none" w:sz="0" w:space="0" w:color="auto"/>
            <w:right w:val="none" w:sz="0" w:space="0" w:color="auto"/>
          </w:divBdr>
        </w:div>
        <w:div w:id="162202689">
          <w:marLeft w:val="0"/>
          <w:marRight w:val="0"/>
          <w:marTop w:val="0"/>
          <w:marBottom w:val="0"/>
          <w:divBdr>
            <w:top w:val="none" w:sz="0" w:space="0" w:color="auto"/>
            <w:left w:val="none" w:sz="0" w:space="0" w:color="auto"/>
            <w:bottom w:val="none" w:sz="0" w:space="0" w:color="auto"/>
            <w:right w:val="none" w:sz="0" w:space="0" w:color="auto"/>
          </w:divBdr>
        </w:div>
        <w:div w:id="932595224">
          <w:marLeft w:val="0"/>
          <w:marRight w:val="0"/>
          <w:marTop w:val="0"/>
          <w:marBottom w:val="0"/>
          <w:divBdr>
            <w:top w:val="none" w:sz="0" w:space="0" w:color="auto"/>
            <w:left w:val="none" w:sz="0" w:space="0" w:color="auto"/>
            <w:bottom w:val="none" w:sz="0" w:space="0" w:color="auto"/>
            <w:right w:val="none" w:sz="0" w:space="0" w:color="auto"/>
          </w:divBdr>
        </w:div>
        <w:div w:id="43740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esestatisticas.ibge.gov.br/lista_tema.aspx?op=0&amp;de=75&amp;no=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b.gov.br/pt-b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fhbterra\Documents\Fa&#769;bio\Artigos\Artigos%20em%20preparac&#807;a&#771;o\Em%20elaborac&#807;a&#771;o\Poli&#769;tica%20moneta&#769;ria%20Brasil%20e%20Keynes\Dados\Dados%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r>
              <a:rPr lang="pt-BR" sz="1200" b="0"/>
              <a:t>Figure 2 - Brazilian</a:t>
            </a:r>
            <a:r>
              <a:rPr lang="pt-BR" sz="1200" b="0" baseline="0"/>
              <a:t> Central Bank Interest Rate, Market's Future Interest Rate and Expected Inflation Gap,</a:t>
            </a:r>
            <a:r>
              <a:rPr lang="pt-BR" sz="1200" b="0"/>
              <a:t> January 2011 to December 2016</a:t>
            </a:r>
          </a:p>
        </c:rich>
      </c:tx>
      <c:overlay val="0"/>
      <c:spPr>
        <a:noFill/>
        <a:ln w="25400">
          <a:noFill/>
        </a:ln>
      </c:spPr>
    </c:title>
    <c:autoTitleDeleted val="0"/>
    <c:plotArea>
      <c:layout/>
      <c:barChart>
        <c:barDir val="col"/>
        <c:grouping val="clustered"/>
        <c:varyColors val="0"/>
        <c:ser>
          <c:idx val="0"/>
          <c:order val="2"/>
          <c:tx>
            <c:v>Expected Inflation Gap</c:v>
          </c:tx>
          <c:spPr>
            <a:solidFill>
              <a:schemeClr val="dk1">
                <a:tint val="88500"/>
              </a:schemeClr>
            </a:solidFill>
            <a:ln>
              <a:noFill/>
            </a:ln>
            <a:effectLst/>
          </c:spPr>
          <c:invertIfNegative val="0"/>
          <c:val>
            <c:numRef>
              <c:f>Séries!$G$2:$G$73</c:f>
              <c:numCache>
                <c:formatCode>#,##0.00</c:formatCode>
                <c:ptCount val="72"/>
                <c:pt idx="0">
                  <c:v>-0.31000000000000044</c:v>
                </c:pt>
                <c:pt idx="1">
                  <c:v>-0.45</c:v>
                </c:pt>
                <c:pt idx="2">
                  <c:v>-0.39000000000000051</c:v>
                </c:pt>
                <c:pt idx="3">
                  <c:v>-0.52</c:v>
                </c:pt>
                <c:pt idx="4">
                  <c:v>-0.75000000000000189</c:v>
                </c:pt>
                <c:pt idx="5">
                  <c:v>-0.630000000000002</c:v>
                </c:pt>
                <c:pt idx="6">
                  <c:v>-0.41000000000000031</c:v>
                </c:pt>
                <c:pt idx="7">
                  <c:v>-0.3800000000000005</c:v>
                </c:pt>
                <c:pt idx="8">
                  <c:v>-0.16000000000000011</c:v>
                </c:pt>
                <c:pt idx="9">
                  <c:v>-0.26</c:v>
                </c:pt>
                <c:pt idx="10">
                  <c:v>-0.31000000000000044</c:v>
                </c:pt>
                <c:pt idx="11">
                  <c:v>-0.5</c:v>
                </c:pt>
                <c:pt idx="12">
                  <c:v>-0.52</c:v>
                </c:pt>
                <c:pt idx="13">
                  <c:v>-0.49000000000000032</c:v>
                </c:pt>
                <c:pt idx="14">
                  <c:v>-0.34000000000000036</c:v>
                </c:pt>
                <c:pt idx="15">
                  <c:v>-0.30000000000000032</c:v>
                </c:pt>
                <c:pt idx="16">
                  <c:v>-0.31000000000000044</c:v>
                </c:pt>
                <c:pt idx="17">
                  <c:v>-0.35000000000000031</c:v>
                </c:pt>
                <c:pt idx="18">
                  <c:v>-0.28000000000000008</c:v>
                </c:pt>
                <c:pt idx="19">
                  <c:v>-0.21000000000000021</c:v>
                </c:pt>
                <c:pt idx="20">
                  <c:v>-0.29000000000000031</c:v>
                </c:pt>
                <c:pt idx="21">
                  <c:v>-0.45</c:v>
                </c:pt>
                <c:pt idx="22">
                  <c:v>-0.43000000000000038</c:v>
                </c:pt>
                <c:pt idx="23">
                  <c:v>-0.30000000000000032</c:v>
                </c:pt>
                <c:pt idx="24">
                  <c:v>-0.31000000000000044</c:v>
                </c:pt>
                <c:pt idx="25">
                  <c:v>-0.21000000000000021</c:v>
                </c:pt>
                <c:pt idx="26">
                  <c:v>-0.30000000000000032</c:v>
                </c:pt>
                <c:pt idx="27">
                  <c:v>-0.24000000000000021</c:v>
                </c:pt>
                <c:pt idx="28">
                  <c:v>-0.17</c:v>
                </c:pt>
                <c:pt idx="29">
                  <c:v>-0.12000000000000002</c:v>
                </c:pt>
                <c:pt idx="30">
                  <c:v>4.9999999999999982E-2</c:v>
                </c:pt>
                <c:pt idx="31">
                  <c:v>0.28000000000000008</c:v>
                </c:pt>
                <c:pt idx="32">
                  <c:v>0.3800000000000005</c:v>
                </c:pt>
                <c:pt idx="33">
                  <c:v>0.36000000000000032</c:v>
                </c:pt>
                <c:pt idx="34">
                  <c:v>0.25</c:v>
                </c:pt>
                <c:pt idx="35">
                  <c:v>0.16000000000000011</c:v>
                </c:pt>
                <c:pt idx="36">
                  <c:v>0.19000000000000011</c:v>
                </c:pt>
                <c:pt idx="37">
                  <c:v>0.34000000000000036</c:v>
                </c:pt>
                <c:pt idx="38">
                  <c:v>0.35000000000000031</c:v>
                </c:pt>
                <c:pt idx="39">
                  <c:v>0.2</c:v>
                </c:pt>
                <c:pt idx="40">
                  <c:v>0.19000000000000011</c:v>
                </c:pt>
                <c:pt idx="41">
                  <c:v>0.15000000000000022</c:v>
                </c:pt>
                <c:pt idx="42">
                  <c:v>0.28000000000000008</c:v>
                </c:pt>
                <c:pt idx="43">
                  <c:v>0.42000000000000032</c:v>
                </c:pt>
                <c:pt idx="44">
                  <c:v>0.5</c:v>
                </c:pt>
                <c:pt idx="45">
                  <c:v>0.59000000000000041</c:v>
                </c:pt>
                <c:pt idx="46">
                  <c:v>0.73000000000000065</c:v>
                </c:pt>
                <c:pt idx="47">
                  <c:v>0.82000000000000162</c:v>
                </c:pt>
                <c:pt idx="48">
                  <c:v>0.75000000000000189</c:v>
                </c:pt>
                <c:pt idx="49">
                  <c:v>0.70000000000000162</c:v>
                </c:pt>
                <c:pt idx="50">
                  <c:v>0.45</c:v>
                </c:pt>
                <c:pt idx="51">
                  <c:v>0.18000000000000022</c:v>
                </c:pt>
                <c:pt idx="52">
                  <c:v>0.18000000000000022</c:v>
                </c:pt>
                <c:pt idx="53">
                  <c:v>0.15000000000000022</c:v>
                </c:pt>
                <c:pt idx="54">
                  <c:v>-0.15000000000000022</c:v>
                </c:pt>
                <c:pt idx="55">
                  <c:v>-0.17</c:v>
                </c:pt>
                <c:pt idx="56">
                  <c:v>0.24000000000000021</c:v>
                </c:pt>
                <c:pt idx="57">
                  <c:v>0.66000000000000314</c:v>
                </c:pt>
                <c:pt idx="58">
                  <c:v>1.0900000000000001</c:v>
                </c:pt>
                <c:pt idx="59">
                  <c:v>1.1000000000000001</c:v>
                </c:pt>
                <c:pt idx="60">
                  <c:v>1.07</c:v>
                </c:pt>
                <c:pt idx="61">
                  <c:v>0.93</c:v>
                </c:pt>
                <c:pt idx="62">
                  <c:v>0.67000000000000315</c:v>
                </c:pt>
                <c:pt idx="63">
                  <c:v>0.36000000000000032</c:v>
                </c:pt>
                <c:pt idx="64">
                  <c:v>0.11000000000000006</c:v>
                </c:pt>
                <c:pt idx="65">
                  <c:v>9.0000000000000066E-2</c:v>
                </c:pt>
                <c:pt idx="66">
                  <c:v>-0.26</c:v>
                </c:pt>
                <c:pt idx="67">
                  <c:v>-0.51</c:v>
                </c:pt>
                <c:pt idx="68">
                  <c:v>-0.68000000000000282</c:v>
                </c:pt>
                <c:pt idx="69">
                  <c:v>-0.86000000000000165</c:v>
                </c:pt>
                <c:pt idx="70">
                  <c:v>-0.94000000000000161</c:v>
                </c:pt>
                <c:pt idx="71">
                  <c:v>-1.04</c:v>
                </c:pt>
              </c:numCache>
            </c:numRef>
          </c:val>
          <c:extLst>
            <c:ext xmlns:c16="http://schemas.microsoft.com/office/drawing/2014/chart" uri="{C3380CC4-5D6E-409C-BE32-E72D297353CC}">
              <c16:uniqueId val="{00000000-FA44-46B0-98BE-43C489BA2BFD}"/>
            </c:ext>
          </c:extLst>
        </c:ser>
        <c:dLbls>
          <c:showLegendKey val="0"/>
          <c:showVal val="0"/>
          <c:showCatName val="0"/>
          <c:showSerName val="0"/>
          <c:showPercent val="0"/>
          <c:showBubbleSize val="0"/>
        </c:dLbls>
        <c:gapWidth val="150"/>
        <c:axId val="63705856"/>
        <c:axId val="63707392"/>
      </c:barChart>
      <c:lineChart>
        <c:grouping val="standard"/>
        <c:varyColors val="0"/>
        <c:ser>
          <c:idx val="1"/>
          <c:order val="0"/>
          <c:tx>
            <c:v>Market's Future Interest Rate</c:v>
          </c:tx>
          <c:spPr>
            <a:ln w="19050" cap="rnd" cmpd="sng" algn="ctr">
              <a:solidFill>
                <a:schemeClr val="tx1">
                  <a:alpha val="71000"/>
                </a:schemeClr>
              </a:solidFill>
              <a:prstDash val="sysDot"/>
              <a:round/>
            </a:ln>
            <a:effectLst/>
          </c:spPr>
          <c:marker>
            <c:symbol val="none"/>
          </c:marker>
          <c:cat>
            <c:strRef>
              <c:f>Séries!$A$2:$A$73</c:f>
              <c:strCache>
                <c:ptCount val="72"/>
                <c:pt idx="0">
                  <c:v>2011.01</c:v>
                </c:pt>
                <c:pt idx="1">
                  <c:v>2011.02</c:v>
                </c:pt>
                <c:pt idx="2">
                  <c:v>2011.03</c:v>
                </c:pt>
                <c:pt idx="3">
                  <c:v>2011.04</c:v>
                </c:pt>
                <c:pt idx="4">
                  <c:v>2011.05</c:v>
                </c:pt>
                <c:pt idx="5">
                  <c:v>2011.06</c:v>
                </c:pt>
                <c:pt idx="6">
                  <c:v>2011.07</c:v>
                </c:pt>
                <c:pt idx="7">
                  <c:v>2011.08</c:v>
                </c:pt>
                <c:pt idx="8">
                  <c:v>2011.09</c:v>
                </c:pt>
                <c:pt idx="9">
                  <c:v>2011.10</c:v>
                </c:pt>
                <c:pt idx="10">
                  <c:v>2011.11</c:v>
                </c:pt>
                <c:pt idx="11">
                  <c:v>2011.12</c:v>
                </c:pt>
                <c:pt idx="12">
                  <c:v>2012.01</c:v>
                </c:pt>
                <c:pt idx="13">
                  <c:v>2012.02</c:v>
                </c:pt>
                <c:pt idx="14">
                  <c:v>2012.03</c:v>
                </c:pt>
                <c:pt idx="15">
                  <c:v>2012.04</c:v>
                </c:pt>
                <c:pt idx="16">
                  <c:v>2012.05</c:v>
                </c:pt>
                <c:pt idx="17">
                  <c:v>2012.06</c:v>
                </c:pt>
                <c:pt idx="18">
                  <c:v>2012.07</c:v>
                </c:pt>
                <c:pt idx="19">
                  <c:v>2012.08</c:v>
                </c:pt>
                <c:pt idx="20">
                  <c:v>2012.09</c:v>
                </c:pt>
                <c:pt idx="21">
                  <c:v>2012.10</c:v>
                </c:pt>
                <c:pt idx="22">
                  <c:v>2012.11</c:v>
                </c:pt>
                <c:pt idx="23">
                  <c:v>2012.12</c:v>
                </c:pt>
                <c:pt idx="24">
                  <c:v>2013.01</c:v>
                </c:pt>
                <c:pt idx="25">
                  <c:v>2013.02</c:v>
                </c:pt>
                <c:pt idx="26">
                  <c:v>2013.03</c:v>
                </c:pt>
                <c:pt idx="27">
                  <c:v>2013.04</c:v>
                </c:pt>
                <c:pt idx="28">
                  <c:v>2013.05</c:v>
                </c:pt>
                <c:pt idx="29">
                  <c:v>2013.06</c:v>
                </c:pt>
                <c:pt idx="30">
                  <c:v>2013.07</c:v>
                </c:pt>
                <c:pt idx="31">
                  <c:v>2013.08</c:v>
                </c:pt>
                <c:pt idx="32">
                  <c:v>2013.09</c:v>
                </c:pt>
                <c:pt idx="33">
                  <c:v>2013.10</c:v>
                </c:pt>
                <c:pt idx="34">
                  <c:v>2013.11</c:v>
                </c:pt>
                <c:pt idx="35">
                  <c:v>2013.12</c:v>
                </c:pt>
                <c:pt idx="36">
                  <c:v>2014.01</c:v>
                </c:pt>
                <c:pt idx="37">
                  <c:v>2014.02</c:v>
                </c:pt>
                <c:pt idx="38">
                  <c:v>2014.03</c:v>
                </c:pt>
                <c:pt idx="39">
                  <c:v>2014.04</c:v>
                </c:pt>
                <c:pt idx="40">
                  <c:v>2014.05</c:v>
                </c:pt>
                <c:pt idx="41">
                  <c:v>2014.06</c:v>
                </c:pt>
                <c:pt idx="42">
                  <c:v>2014.07</c:v>
                </c:pt>
                <c:pt idx="43">
                  <c:v>2014.08</c:v>
                </c:pt>
                <c:pt idx="44">
                  <c:v>2014.09</c:v>
                </c:pt>
                <c:pt idx="45">
                  <c:v>2014.10</c:v>
                </c:pt>
                <c:pt idx="46">
                  <c:v>2014.11</c:v>
                </c:pt>
                <c:pt idx="47">
                  <c:v>2014.12</c:v>
                </c:pt>
                <c:pt idx="48">
                  <c:v>2015.01</c:v>
                </c:pt>
                <c:pt idx="49">
                  <c:v>2015.02</c:v>
                </c:pt>
                <c:pt idx="50">
                  <c:v>2015.03</c:v>
                </c:pt>
                <c:pt idx="51">
                  <c:v>2015.04</c:v>
                </c:pt>
                <c:pt idx="52">
                  <c:v>2015.05</c:v>
                </c:pt>
                <c:pt idx="53">
                  <c:v>2015.06</c:v>
                </c:pt>
                <c:pt idx="54">
                  <c:v>2015.07</c:v>
                </c:pt>
                <c:pt idx="55">
                  <c:v>2015.08</c:v>
                </c:pt>
                <c:pt idx="56">
                  <c:v>2015.09</c:v>
                </c:pt>
                <c:pt idx="57">
                  <c:v>2015.10</c:v>
                </c:pt>
                <c:pt idx="58">
                  <c:v>2015.11</c:v>
                </c:pt>
                <c:pt idx="59">
                  <c:v>2015.12</c:v>
                </c:pt>
                <c:pt idx="60">
                  <c:v>2016.01</c:v>
                </c:pt>
                <c:pt idx="61">
                  <c:v>2016.02</c:v>
                </c:pt>
                <c:pt idx="62">
                  <c:v>2016.03</c:v>
                </c:pt>
                <c:pt idx="63">
                  <c:v>2016.04</c:v>
                </c:pt>
                <c:pt idx="64">
                  <c:v>2016.05</c:v>
                </c:pt>
                <c:pt idx="65">
                  <c:v>2016.06</c:v>
                </c:pt>
                <c:pt idx="66">
                  <c:v>2016.07</c:v>
                </c:pt>
                <c:pt idx="67">
                  <c:v>2016.08</c:v>
                </c:pt>
                <c:pt idx="68">
                  <c:v>2016.09</c:v>
                </c:pt>
                <c:pt idx="69">
                  <c:v>2016.10</c:v>
                </c:pt>
                <c:pt idx="70">
                  <c:v>2016.11</c:v>
                </c:pt>
                <c:pt idx="71">
                  <c:v>2016.12</c:v>
                </c:pt>
              </c:strCache>
            </c:strRef>
          </c:cat>
          <c:val>
            <c:numRef>
              <c:f>Séries!$B$2:$B$73</c:f>
              <c:numCache>
                <c:formatCode>#,##0.00</c:formatCode>
                <c:ptCount val="72"/>
                <c:pt idx="0">
                  <c:v>12.44</c:v>
                </c:pt>
                <c:pt idx="1">
                  <c:v>12.62</c:v>
                </c:pt>
                <c:pt idx="2">
                  <c:v>12.28</c:v>
                </c:pt>
                <c:pt idx="3">
                  <c:v>12.52</c:v>
                </c:pt>
                <c:pt idx="4">
                  <c:v>12.450000000000022</c:v>
                </c:pt>
                <c:pt idx="5">
                  <c:v>12.64</c:v>
                </c:pt>
                <c:pt idx="6">
                  <c:v>12.58</c:v>
                </c:pt>
                <c:pt idx="7">
                  <c:v>11.22</c:v>
                </c:pt>
                <c:pt idx="8">
                  <c:v>10.38</c:v>
                </c:pt>
                <c:pt idx="9">
                  <c:v>10.3</c:v>
                </c:pt>
                <c:pt idx="10">
                  <c:v>9.66</c:v>
                </c:pt>
                <c:pt idx="11">
                  <c:v>10.040000000000001</c:v>
                </c:pt>
                <c:pt idx="12">
                  <c:v>9.5500000000000007</c:v>
                </c:pt>
                <c:pt idx="13">
                  <c:v>9.26</c:v>
                </c:pt>
                <c:pt idx="14">
                  <c:v>8.9600000000000026</c:v>
                </c:pt>
                <c:pt idx="15">
                  <c:v>8.33</c:v>
                </c:pt>
                <c:pt idx="16">
                  <c:v>7.9300000000000024</c:v>
                </c:pt>
                <c:pt idx="17">
                  <c:v>7.57</c:v>
                </c:pt>
                <c:pt idx="18">
                  <c:v>7.46</c:v>
                </c:pt>
                <c:pt idx="19">
                  <c:v>7.49</c:v>
                </c:pt>
                <c:pt idx="20">
                  <c:v>7.48</c:v>
                </c:pt>
                <c:pt idx="21">
                  <c:v>7.24</c:v>
                </c:pt>
                <c:pt idx="22">
                  <c:v>7.17</c:v>
                </c:pt>
                <c:pt idx="23">
                  <c:v>7.14</c:v>
                </c:pt>
                <c:pt idx="24">
                  <c:v>7.26</c:v>
                </c:pt>
                <c:pt idx="25">
                  <c:v>7.76</c:v>
                </c:pt>
                <c:pt idx="26">
                  <c:v>7.92</c:v>
                </c:pt>
                <c:pt idx="27">
                  <c:v>8.01</c:v>
                </c:pt>
                <c:pt idx="28">
                  <c:v>8.67</c:v>
                </c:pt>
                <c:pt idx="29">
                  <c:v>9.39</c:v>
                </c:pt>
                <c:pt idx="30">
                  <c:v>9.2900000000000009</c:v>
                </c:pt>
                <c:pt idx="31">
                  <c:v>10.19</c:v>
                </c:pt>
                <c:pt idx="32">
                  <c:v>10.07</c:v>
                </c:pt>
                <c:pt idx="33">
                  <c:v>10.5</c:v>
                </c:pt>
                <c:pt idx="34">
                  <c:v>10.6</c:v>
                </c:pt>
                <c:pt idx="35">
                  <c:v>10.57</c:v>
                </c:pt>
                <c:pt idx="36">
                  <c:v>11.77</c:v>
                </c:pt>
                <c:pt idx="37">
                  <c:v>11.22</c:v>
                </c:pt>
                <c:pt idx="38">
                  <c:v>11.38</c:v>
                </c:pt>
                <c:pt idx="39">
                  <c:v>11.33</c:v>
                </c:pt>
                <c:pt idx="40">
                  <c:v>11.1</c:v>
                </c:pt>
                <c:pt idx="41">
                  <c:v>10.91</c:v>
                </c:pt>
                <c:pt idx="42">
                  <c:v>10.97</c:v>
                </c:pt>
                <c:pt idx="43">
                  <c:v>11.09</c:v>
                </c:pt>
                <c:pt idx="44">
                  <c:v>11.77</c:v>
                </c:pt>
                <c:pt idx="45">
                  <c:v>12.17</c:v>
                </c:pt>
                <c:pt idx="46">
                  <c:v>12.44</c:v>
                </c:pt>
                <c:pt idx="47">
                  <c:v>12.96</c:v>
                </c:pt>
                <c:pt idx="48">
                  <c:v>12.75</c:v>
                </c:pt>
                <c:pt idx="49">
                  <c:v>13.05</c:v>
                </c:pt>
                <c:pt idx="50">
                  <c:v>13.52</c:v>
                </c:pt>
                <c:pt idx="51">
                  <c:v>13.67</c:v>
                </c:pt>
                <c:pt idx="52">
                  <c:v>13.76</c:v>
                </c:pt>
                <c:pt idx="53">
                  <c:v>14.27</c:v>
                </c:pt>
                <c:pt idx="54">
                  <c:v>13.91</c:v>
                </c:pt>
                <c:pt idx="55">
                  <c:v>14.38</c:v>
                </c:pt>
                <c:pt idx="56">
                  <c:v>15.56</c:v>
                </c:pt>
                <c:pt idx="57">
                  <c:v>15.39</c:v>
                </c:pt>
                <c:pt idx="58">
                  <c:v>15.71</c:v>
                </c:pt>
                <c:pt idx="59">
                  <c:v>15.860000000000024</c:v>
                </c:pt>
                <c:pt idx="60">
                  <c:v>14.57</c:v>
                </c:pt>
                <c:pt idx="61">
                  <c:v>14.21</c:v>
                </c:pt>
                <c:pt idx="62">
                  <c:v>13.81</c:v>
                </c:pt>
                <c:pt idx="63">
                  <c:v>13.22</c:v>
                </c:pt>
                <c:pt idx="64">
                  <c:v>13.18</c:v>
                </c:pt>
                <c:pt idx="65">
                  <c:v>13.360000000000024</c:v>
                </c:pt>
                <c:pt idx="66">
                  <c:v>13.29</c:v>
                </c:pt>
                <c:pt idx="67">
                  <c:v>13.12</c:v>
                </c:pt>
                <c:pt idx="68">
                  <c:v>12.5</c:v>
                </c:pt>
                <c:pt idx="69">
                  <c:v>12.43</c:v>
                </c:pt>
                <c:pt idx="70">
                  <c:v>12.17</c:v>
                </c:pt>
                <c:pt idx="71">
                  <c:v>11.56</c:v>
                </c:pt>
              </c:numCache>
            </c:numRef>
          </c:val>
          <c:smooth val="0"/>
          <c:extLst>
            <c:ext xmlns:c16="http://schemas.microsoft.com/office/drawing/2014/chart" uri="{C3380CC4-5D6E-409C-BE32-E72D297353CC}">
              <c16:uniqueId val="{00000001-FA44-46B0-98BE-43C489BA2BFD}"/>
            </c:ext>
          </c:extLst>
        </c:ser>
        <c:ser>
          <c:idx val="3"/>
          <c:order val="1"/>
          <c:tx>
            <c:strRef>
              <c:f>Séries!$D$1</c:f>
              <c:strCache>
                <c:ptCount val="1"/>
                <c:pt idx="0">
                  <c:v>Central Bank Interest Rate</c:v>
                </c:pt>
              </c:strCache>
            </c:strRef>
          </c:tx>
          <c:spPr>
            <a:ln w="19050" cap="rnd" cmpd="sng" algn="ctr">
              <a:solidFill>
                <a:schemeClr val="dk1">
                  <a:tint val="98500"/>
                </a:schemeClr>
              </a:solidFill>
              <a:prstDash val="solid"/>
              <a:round/>
            </a:ln>
            <a:effectLst/>
          </c:spPr>
          <c:marker>
            <c:symbol val="none"/>
          </c:marker>
          <c:cat>
            <c:strRef>
              <c:f>Séries!$A$2:$A$73</c:f>
              <c:strCache>
                <c:ptCount val="72"/>
                <c:pt idx="0">
                  <c:v>2011.01</c:v>
                </c:pt>
                <c:pt idx="1">
                  <c:v>2011.02</c:v>
                </c:pt>
                <c:pt idx="2">
                  <c:v>2011.03</c:v>
                </c:pt>
                <c:pt idx="3">
                  <c:v>2011.04</c:v>
                </c:pt>
                <c:pt idx="4">
                  <c:v>2011.05</c:v>
                </c:pt>
                <c:pt idx="5">
                  <c:v>2011.06</c:v>
                </c:pt>
                <c:pt idx="6">
                  <c:v>2011.07</c:v>
                </c:pt>
                <c:pt idx="7">
                  <c:v>2011.08</c:v>
                </c:pt>
                <c:pt idx="8">
                  <c:v>2011.09</c:v>
                </c:pt>
                <c:pt idx="9">
                  <c:v>2011.10</c:v>
                </c:pt>
                <c:pt idx="10">
                  <c:v>2011.11</c:v>
                </c:pt>
                <c:pt idx="11">
                  <c:v>2011.12</c:v>
                </c:pt>
                <c:pt idx="12">
                  <c:v>2012.01</c:v>
                </c:pt>
                <c:pt idx="13">
                  <c:v>2012.02</c:v>
                </c:pt>
                <c:pt idx="14">
                  <c:v>2012.03</c:v>
                </c:pt>
                <c:pt idx="15">
                  <c:v>2012.04</c:v>
                </c:pt>
                <c:pt idx="16">
                  <c:v>2012.05</c:v>
                </c:pt>
                <c:pt idx="17">
                  <c:v>2012.06</c:v>
                </c:pt>
                <c:pt idx="18">
                  <c:v>2012.07</c:v>
                </c:pt>
                <c:pt idx="19">
                  <c:v>2012.08</c:v>
                </c:pt>
                <c:pt idx="20">
                  <c:v>2012.09</c:v>
                </c:pt>
                <c:pt idx="21">
                  <c:v>2012.10</c:v>
                </c:pt>
                <c:pt idx="22">
                  <c:v>2012.11</c:v>
                </c:pt>
                <c:pt idx="23">
                  <c:v>2012.12</c:v>
                </c:pt>
                <c:pt idx="24">
                  <c:v>2013.01</c:v>
                </c:pt>
                <c:pt idx="25">
                  <c:v>2013.02</c:v>
                </c:pt>
                <c:pt idx="26">
                  <c:v>2013.03</c:v>
                </c:pt>
                <c:pt idx="27">
                  <c:v>2013.04</c:v>
                </c:pt>
                <c:pt idx="28">
                  <c:v>2013.05</c:v>
                </c:pt>
                <c:pt idx="29">
                  <c:v>2013.06</c:v>
                </c:pt>
                <c:pt idx="30">
                  <c:v>2013.07</c:v>
                </c:pt>
                <c:pt idx="31">
                  <c:v>2013.08</c:v>
                </c:pt>
                <c:pt idx="32">
                  <c:v>2013.09</c:v>
                </c:pt>
                <c:pt idx="33">
                  <c:v>2013.10</c:v>
                </c:pt>
                <c:pt idx="34">
                  <c:v>2013.11</c:v>
                </c:pt>
                <c:pt idx="35">
                  <c:v>2013.12</c:v>
                </c:pt>
                <c:pt idx="36">
                  <c:v>2014.01</c:v>
                </c:pt>
                <c:pt idx="37">
                  <c:v>2014.02</c:v>
                </c:pt>
                <c:pt idx="38">
                  <c:v>2014.03</c:v>
                </c:pt>
                <c:pt idx="39">
                  <c:v>2014.04</c:v>
                </c:pt>
                <c:pt idx="40">
                  <c:v>2014.05</c:v>
                </c:pt>
                <c:pt idx="41">
                  <c:v>2014.06</c:v>
                </c:pt>
                <c:pt idx="42">
                  <c:v>2014.07</c:v>
                </c:pt>
                <c:pt idx="43">
                  <c:v>2014.08</c:v>
                </c:pt>
                <c:pt idx="44">
                  <c:v>2014.09</c:v>
                </c:pt>
                <c:pt idx="45">
                  <c:v>2014.10</c:v>
                </c:pt>
                <c:pt idx="46">
                  <c:v>2014.11</c:v>
                </c:pt>
                <c:pt idx="47">
                  <c:v>2014.12</c:v>
                </c:pt>
                <c:pt idx="48">
                  <c:v>2015.01</c:v>
                </c:pt>
                <c:pt idx="49">
                  <c:v>2015.02</c:v>
                </c:pt>
                <c:pt idx="50">
                  <c:v>2015.03</c:v>
                </c:pt>
                <c:pt idx="51">
                  <c:v>2015.04</c:v>
                </c:pt>
                <c:pt idx="52">
                  <c:v>2015.05</c:v>
                </c:pt>
                <c:pt idx="53">
                  <c:v>2015.06</c:v>
                </c:pt>
                <c:pt idx="54">
                  <c:v>2015.07</c:v>
                </c:pt>
                <c:pt idx="55">
                  <c:v>2015.08</c:v>
                </c:pt>
                <c:pt idx="56">
                  <c:v>2015.09</c:v>
                </c:pt>
                <c:pt idx="57">
                  <c:v>2015.10</c:v>
                </c:pt>
                <c:pt idx="58">
                  <c:v>2015.11</c:v>
                </c:pt>
                <c:pt idx="59">
                  <c:v>2015.12</c:v>
                </c:pt>
                <c:pt idx="60">
                  <c:v>2016.01</c:v>
                </c:pt>
                <c:pt idx="61">
                  <c:v>2016.02</c:v>
                </c:pt>
                <c:pt idx="62">
                  <c:v>2016.03</c:v>
                </c:pt>
                <c:pt idx="63">
                  <c:v>2016.04</c:v>
                </c:pt>
                <c:pt idx="64">
                  <c:v>2016.05</c:v>
                </c:pt>
                <c:pt idx="65">
                  <c:v>2016.06</c:v>
                </c:pt>
                <c:pt idx="66">
                  <c:v>2016.07</c:v>
                </c:pt>
                <c:pt idx="67">
                  <c:v>2016.08</c:v>
                </c:pt>
                <c:pt idx="68">
                  <c:v>2016.09</c:v>
                </c:pt>
                <c:pt idx="69">
                  <c:v>2016.10</c:v>
                </c:pt>
                <c:pt idx="70">
                  <c:v>2016.11</c:v>
                </c:pt>
                <c:pt idx="71">
                  <c:v>2016.12</c:v>
                </c:pt>
              </c:strCache>
            </c:strRef>
          </c:cat>
          <c:val>
            <c:numRef>
              <c:f>Séries!$D$2:$D$73</c:f>
              <c:numCache>
                <c:formatCode>#,##0.00</c:formatCode>
                <c:ptCount val="72"/>
                <c:pt idx="0">
                  <c:v>10.75</c:v>
                </c:pt>
                <c:pt idx="1">
                  <c:v>11.25</c:v>
                </c:pt>
                <c:pt idx="2">
                  <c:v>11.75</c:v>
                </c:pt>
                <c:pt idx="3">
                  <c:v>12</c:v>
                </c:pt>
                <c:pt idx="4">
                  <c:v>12</c:v>
                </c:pt>
                <c:pt idx="5">
                  <c:v>12.25</c:v>
                </c:pt>
                <c:pt idx="6">
                  <c:v>12.5</c:v>
                </c:pt>
                <c:pt idx="7">
                  <c:v>12.5</c:v>
                </c:pt>
                <c:pt idx="8">
                  <c:v>12</c:v>
                </c:pt>
                <c:pt idx="9">
                  <c:v>11.5</c:v>
                </c:pt>
                <c:pt idx="10">
                  <c:v>11.5</c:v>
                </c:pt>
                <c:pt idx="11">
                  <c:v>11</c:v>
                </c:pt>
                <c:pt idx="12">
                  <c:v>11</c:v>
                </c:pt>
                <c:pt idx="13">
                  <c:v>10.5</c:v>
                </c:pt>
                <c:pt idx="14">
                  <c:v>9.75</c:v>
                </c:pt>
                <c:pt idx="15">
                  <c:v>9</c:v>
                </c:pt>
                <c:pt idx="16">
                  <c:v>8.5</c:v>
                </c:pt>
                <c:pt idx="17">
                  <c:v>8.5</c:v>
                </c:pt>
                <c:pt idx="18">
                  <c:v>8</c:v>
                </c:pt>
                <c:pt idx="19">
                  <c:v>7.5</c:v>
                </c:pt>
                <c:pt idx="20">
                  <c:v>7.5</c:v>
                </c:pt>
                <c:pt idx="21">
                  <c:v>7.25</c:v>
                </c:pt>
                <c:pt idx="22">
                  <c:v>7.25</c:v>
                </c:pt>
                <c:pt idx="23">
                  <c:v>7.25</c:v>
                </c:pt>
                <c:pt idx="24">
                  <c:v>7.25</c:v>
                </c:pt>
                <c:pt idx="25">
                  <c:v>7.25</c:v>
                </c:pt>
                <c:pt idx="26">
                  <c:v>7.25</c:v>
                </c:pt>
                <c:pt idx="27">
                  <c:v>7.5</c:v>
                </c:pt>
                <c:pt idx="28">
                  <c:v>8</c:v>
                </c:pt>
                <c:pt idx="29">
                  <c:v>8</c:v>
                </c:pt>
                <c:pt idx="30">
                  <c:v>8.5</c:v>
                </c:pt>
                <c:pt idx="31">
                  <c:v>9</c:v>
                </c:pt>
                <c:pt idx="32">
                  <c:v>9</c:v>
                </c:pt>
                <c:pt idx="33">
                  <c:v>9.5</c:v>
                </c:pt>
                <c:pt idx="34">
                  <c:v>10</c:v>
                </c:pt>
                <c:pt idx="35">
                  <c:v>10</c:v>
                </c:pt>
                <c:pt idx="36">
                  <c:v>10.5</c:v>
                </c:pt>
                <c:pt idx="37">
                  <c:v>10.75</c:v>
                </c:pt>
                <c:pt idx="38">
                  <c:v>10.75</c:v>
                </c:pt>
                <c:pt idx="39">
                  <c:v>11</c:v>
                </c:pt>
                <c:pt idx="40">
                  <c:v>11</c:v>
                </c:pt>
                <c:pt idx="41">
                  <c:v>11</c:v>
                </c:pt>
                <c:pt idx="42">
                  <c:v>11</c:v>
                </c:pt>
                <c:pt idx="43">
                  <c:v>11</c:v>
                </c:pt>
                <c:pt idx="44">
                  <c:v>11</c:v>
                </c:pt>
                <c:pt idx="45">
                  <c:v>11</c:v>
                </c:pt>
                <c:pt idx="46">
                  <c:v>11.25</c:v>
                </c:pt>
                <c:pt idx="47">
                  <c:v>11.75</c:v>
                </c:pt>
                <c:pt idx="48">
                  <c:v>12.25</c:v>
                </c:pt>
                <c:pt idx="49">
                  <c:v>12.25</c:v>
                </c:pt>
                <c:pt idx="50">
                  <c:v>12.75</c:v>
                </c:pt>
                <c:pt idx="51">
                  <c:v>13.25</c:v>
                </c:pt>
                <c:pt idx="52">
                  <c:v>13.25</c:v>
                </c:pt>
                <c:pt idx="53">
                  <c:v>13.75</c:v>
                </c:pt>
                <c:pt idx="54">
                  <c:v>14.25</c:v>
                </c:pt>
                <c:pt idx="55">
                  <c:v>14.25</c:v>
                </c:pt>
                <c:pt idx="56">
                  <c:v>14.25</c:v>
                </c:pt>
                <c:pt idx="57">
                  <c:v>14.25</c:v>
                </c:pt>
                <c:pt idx="58">
                  <c:v>14.25</c:v>
                </c:pt>
                <c:pt idx="59">
                  <c:v>14.25</c:v>
                </c:pt>
                <c:pt idx="60">
                  <c:v>14.25</c:v>
                </c:pt>
                <c:pt idx="61">
                  <c:v>14.25</c:v>
                </c:pt>
                <c:pt idx="62">
                  <c:v>14.25</c:v>
                </c:pt>
                <c:pt idx="63">
                  <c:v>14.25</c:v>
                </c:pt>
                <c:pt idx="64">
                  <c:v>14.25</c:v>
                </c:pt>
                <c:pt idx="65">
                  <c:v>14.25</c:v>
                </c:pt>
                <c:pt idx="66">
                  <c:v>14.25</c:v>
                </c:pt>
                <c:pt idx="67">
                  <c:v>14.25</c:v>
                </c:pt>
                <c:pt idx="68">
                  <c:v>14.25</c:v>
                </c:pt>
                <c:pt idx="69">
                  <c:v>14</c:v>
                </c:pt>
                <c:pt idx="70">
                  <c:v>14</c:v>
                </c:pt>
                <c:pt idx="71">
                  <c:v>14</c:v>
                </c:pt>
              </c:numCache>
            </c:numRef>
          </c:val>
          <c:smooth val="0"/>
          <c:extLst>
            <c:ext xmlns:c16="http://schemas.microsoft.com/office/drawing/2014/chart" uri="{C3380CC4-5D6E-409C-BE32-E72D297353CC}">
              <c16:uniqueId val="{00000002-FA44-46B0-98BE-43C489BA2BFD}"/>
            </c:ext>
          </c:extLst>
        </c:ser>
        <c:dLbls>
          <c:showLegendKey val="0"/>
          <c:showVal val="0"/>
          <c:showCatName val="0"/>
          <c:showSerName val="0"/>
          <c:showPercent val="0"/>
          <c:showBubbleSize val="0"/>
        </c:dLbls>
        <c:marker val="1"/>
        <c:smooth val="0"/>
        <c:axId val="67044864"/>
        <c:axId val="67046784"/>
      </c:lineChart>
      <c:catAx>
        <c:axId val="6704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pt-BR"/>
          </a:p>
        </c:txPr>
        <c:crossAx val="67046784"/>
        <c:crosses val="autoZero"/>
        <c:auto val="1"/>
        <c:lblAlgn val="ctr"/>
        <c:lblOffset val="100"/>
        <c:noMultiLvlLbl val="0"/>
      </c:catAx>
      <c:valAx>
        <c:axId val="67046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r>
                  <a:rPr lang="pt-BR" b="0"/>
                  <a:t>% per</a:t>
                </a:r>
                <a:r>
                  <a:rPr lang="pt-BR" b="0" baseline="0"/>
                  <a:t> year</a:t>
                </a:r>
                <a:endParaRPr lang="pt-BR" b="0"/>
              </a:p>
            </c:rich>
          </c:tx>
          <c:overlay val="0"/>
          <c:spPr>
            <a:noFill/>
            <a:ln w="25400">
              <a:noFill/>
            </a:ln>
          </c:spPr>
        </c:title>
        <c:numFmt formatCode="#,##0.00" sourceLinked="0"/>
        <c:majorTickMark val="none"/>
        <c:minorTickMark val="none"/>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pt-BR"/>
          </a:p>
        </c:txPr>
        <c:crossAx val="67044864"/>
        <c:crosses val="autoZero"/>
        <c:crossBetween val="between"/>
      </c:valAx>
      <c:catAx>
        <c:axId val="63705856"/>
        <c:scaling>
          <c:orientation val="minMax"/>
        </c:scaling>
        <c:delete val="1"/>
        <c:axPos val="b"/>
        <c:majorTickMark val="out"/>
        <c:minorTickMark val="none"/>
        <c:tickLblPos val="none"/>
        <c:crossAx val="63707392"/>
        <c:crosses val="autoZero"/>
        <c:auto val="1"/>
        <c:lblAlgn val="ctr"/>
        <c:lblOffset val="100"/>
        <c:noMultiLvlLbl val="0"/>
      </c:catAx>
      <c:valAx>
        <c:axId val="6370739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r>
                  <a:rPr lang="pt-BR" b="0"/>
                  <a:t>Expected Inflation: Gap Expected Inflation and Actual Inflation</a:t>
                </a:r>
              </a:p>
            </c:rich>
          </c:tx>
          <c:layout>
            <c:manualLayout>
              <c:xMode val="edge"/>
              <c:yMode val="edge"/>
              <c:x val="0.93152106246109401"/>
              <c:y val="9.3963122000505231E-2"/>
            </c:manualLayout>
          </c:layout>
          <c:overlay val="0"/>
          <c:spPr>
            <a:noFill/>
            <a:ln w="25400">
              <a:noFill/>
            </a:ln>
          </c:spPr>
        </c:title>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pt-BR"/>
          </a:p>
        </c:txPr>
        <c:crossAx val="63705856"/>
        <c:crosses val="max"/>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pt-BR"/>
        </a:p>
      </c:txPr>
    </c:legend>
    <c:plotVisOnly val="1"/>
    <c:dispBlanksAs val="gap"/>
    <c:showDLblsOverMax val="0"/>
  </c:chart>
  <c:spPr>
    <a:noFill/>
    <a:ln w="9525" cap="flat" cmpd="sng" algn="ctr">
      <a:noFill/>
      <a:prstDash val="solid"/>
      <a:round/>
    </a:ln>
    <a:effectLst/>
  </c:spPr>
  <c:txPr>
    <a:bodyPr/>
    <a:lstStyle/>
    <a:p>
      <a:pPr>
        <a:defRPr>
          <a:solidFill>
            <a:schemeClr val="tx1"/>
          </a:solidFill>
          <a:latin typeface="Times New Roman" charset="0"/>
          <a:ea typeface="Times New Roman" charset="0"/>
          <a:cs typeface="Times New Roman"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22A3-AEE2-48CC-A241-E3919DFD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9034</Words>
  <Characters>48788</Characters>
  <Application>Microsoft Office Word</Application>
  <DocSecurity>0</DocSecurity>
  <Lines>406</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dc:creator>
  <cp:lastModifiedBy>resende</cp:lastModifiedBy>
  <cp:revision>14</cp:revision>
  <dcterms:created xsi:type="dcterms:W3CDTF">2017-06-27T18:51:00Z</dcterms:created>
  <dcterms:modified xsi:type="dcterms:W3CDTF">2017-06-27T19:32:00Z</dcterms:modified>
</cp:coreProperties>
</file>